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lang w:eastAsia="zh-CN"/>
        </w:rPr>
        <w:t>淮北市林业局本级</w:t>
      </w:r>
      <w:r>
        <w:rPr>
          <w:rFonts w:ascii="宋体" w:hAnsi="宋体"/>
          <w:b/>
          <w:sz w:val="36"/>
          <w:szCs w:val="36"/>
        </w:rPr>
        <w:t>20</w:t>
      </w:r>
      <w:r>
        <w:rPr>
          <w:rFonts w:hint="eastAsia" w:ascii="宋体" w:hAnsi="宋体"/>
          <w:b/>
          <w:sz w:val="36"/>
          <w:szCs w:val="36"/>
        </w:rPr>
        <w:t>20</w:t>
      </w:r>
      <w:r>
        <w:rPr>
          <w:rFonts w:ascii="宋体" w:hAnsi="宋体"/>
          <w:b/>
          <w:sz w:val="36"/>
          <w:szCs w:val="36"/>
        </w:rPr>
        <w:t>年</w:t>
      </w:r>
      <w:r>
        <w:rPr>
          <w:rFonts w:hint="eastAsia" w:ascii="宋体" w:hAnsi="宋体"/>
          <w:b/>
          <w:sz w:val="36"/>
          <w:szCs w:val="36"/>
        </w:rPr>
        <w:t>度一般公共预算财政</w:t>
      </w:r>
    </w:p>
    <w:p>
      <w:pPr>
        <w:jc w:val="center"/>
        <w:rPr>
          <w:rFonts w:ascii="宋体" w:hAnsi="宋体"/>
          <w:b/>
          <w:sz w:val="36"/>
          <w:szCs w:val="36"/>
        </w:rPr>
      </w:pPr>
      <w:r>
        <w:rPr>
          <w:rFonts w:hint="eastAsia" w:ascii="宋体" w:hAnsi="宋体"/>
          <w:b/>
          <w:sz w:val="36"/>
          <w:szCs w:val="36"/>
        </w:rPr>
        <w:t>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支出决算情况说明</w:t>
      </w:r>
    </w:p>
    <w:p>
      <w:pPr>
        <w:jc w:val="center"/>
        <w:rPr>
          <w:rFonts w:ascii="楷体_GB2312" w:eastAsia="楷体_GB2312"/>
          <w:szCs w:val="32"/>
        </w:rPr>
      </w:pPr>
    </w:p>
    <w:p>
      <w:pPr>
        <w:adjustRightInd w:val="0"/>
        <w:snapToGrid w:val="0"/>
        <w:spacing w:line="360" w:lineRule="auto"/>
        <w:jc w:val="center"/>
        <w:rPr>
          <w:rFonts w:ascii="宋体" w:hAnsi="宋体"/>
          <w:sz w:val="6"/>
          <w:szCs w:val="32"/>
        </w:rPr>
      </w:pP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一、2020年度一般公共预算财政拨款“三公”经费支出决算表</w:t>
      </w:r>
    </w:p>
    <w:p>
      <w:pPr>
        <w:ind w:firstLine="6720" w:firstLineChars="2100"/>
        <w:rPr>
          <w:rFonts w:ascii="黑体" w:hAnsi="黑体" w:eastAsia="黑体"/>
          <w:szCs w:val="32"/>
        </w:rPr>
      </w:pPr>
      <w:r>
        <w:rPr>
          <w:rFonts w:hint="eastAsia" w:ascii="仿宋_GB2312" w:hAnsi="仿宋_GB2312" w:cs="仿宋_GB2312"/>
          <w:szCs w:val="32"/>
        </w:rPr>
        <w:t>单位：万元</w:t>
      </w:r>
    </w:p>
    <w:tbl>
      <w:tblPr>
        <w:tblStyle w:val="4"/>
        <w:tblpPr w:leftFromText="180" w:rightFromText="180" w:vertAnchor="text" w:horzAnchor="margin" w:tblpY="454"/>
        <w:tblOverlap w:val="never"/>
        <w:tblW w:w="8756" w:type="dxa"/>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仿宋_GB2312" w:hAnsi="仿宋_GB2312" w:cs="仿宋_GB2312"/>
                <w:b/>
                <w:bCs/>
                <w:kern w:val="0"/>
                <w:szCs w:val="21"/>
                <w:lang w:val="en-US" w:eastAsia="zh-CN"/>
              </w:rPr>
              <w:t>7</w:t>
            </w:r>
            <w:r>
              <w:rPr>
                <w:rFonts w:hint="eastAsia" w:ascii="仿宋_GB2312" w:hAnsi="仿宋_GB2312" w:eastAsia="仿宋_GB2312" w:cs="仿宋_GB2312"/>
                <w:b/>
                <w:bCs/>
                <w:kern w:val="0"/>
                <w:szCs w:val="21"/>
                <w:lang w:val="en-US" w:eastAsia="zh-CN"/>
              </w:rPr>
              <w:t>.80</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520" w:lineRule="exact"/>
              <w:ind w:right="0" w:rightChars="0"/>
              <w:jc w:val="center"/>
              <w:textAlignment w:val="auto"/>
              <w:rPr>
                <w:rFonts w:ascii="宋体" w:hAnsi="宋体" w:cs="宋体"/>
                <w:b/>
                <w:bCs/>
                <w:kern w:val="0"/>
                <w:szCs w:val="21"/>
              </w:rPr>
            </w:pPr>
            <w:r>
              <w:rPr>
                <w:rFonts w:hint="eastAsia" w:ascii="仿宋_GB2312" w:hAnsi="仿宋_GB2312" w:eastAsia="仿宋_GB2312" w:cs="仿宋_GB2312"/>
                <w:b/>
                <w:bCs/>
                <w:kern w:val="0"/>
                <w:szCs w:val="21"/>
                <w:lang w:val="en-US" w:eastAsia="zh-CN"/>
              </w:rPr>
              <w:t>6.57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4.30</w:t>
            </w:r>
          </w:p>
        </w:tc>
        <w:tc>
          <w:tcPr>
            <w:tcW w:w="22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cs="仿宋_GB2312"/>
                <w:kern w:val="0"/>
                <w:szCs w:val="21"/>
                <w:lang w:val="en-US" w:eastAsia="zh-CN"/>
              </w:rPr>
              <w:t>3</w:t>
            </w:r>
            <w:r>
              <w:rPr>
                <w:rFonts w:hint="eastAsia" w:ascii="仿宋_GB2312" w:hAnsi="仿宋_GB2312" w:eastAsia="仿宋_GB2312" w:cs="仿宋_GB2312"/>
                <w:kern w:val="0"/>
                <w:szCs w:val="21"/>
                <w:lang w:val="en-US" w:eastAsia="zh-CN"/>
              </w:rPr>
              <w:t>.00</w:t>
            </w:r>
          </w:p>
        </w:tc>
        <w:tc>
          <w:tcPr>
            <w:tcW w:w="22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1.83</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cs="仿宋_GB2312"/>
                <w:kern w:val="0"/>
                <w:szCs w:val="21"/>
                <w:lang w:val="en-US" w:eastAsia="zh-CN"/>
              </w:rPr>
              <w:t>0</w:t>
            </w:r>
            <w:r>
              <w:rPr>
                <w:rFonts w:hint="eastAsia" w:ascii="仿宋_GB2312" w:hAnsi="仿宋_GB2312" w:eastAsia="仿宋_GB2312" w:cs="仿宋_GB2312"/>
                <w:kern w:val="0"/>
                <w:szCs w:val="21"/>
                <w:lang w:val="en-US" w:eastAsia="zh-CN"/>
              </w:rPr>
              <w:t>.50</w:t>
            </w:r>
          </w:p>
        </w:tc>
        <w:tc>
          <w:tcPr>
            <w:tcW w:w="22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0.47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cs="仿宋_GB2312"/>
                <w:kern w:val="0"/>
                <w:szCs w:val="21"/>
                <w:lang w:val="en-US" w:eastAsia="zh-CN"/>
              </w:rPr>
              <w:t>0</w:t>
            </w:r>
            <w:r>
              <w:rPr>
                <w:rFonts w:hint="eastAsia" w:ascii="仿宋_GB2312" w:hAnsi="仿宋_GB2312" w:eastAsia="仿宋_GB2312" w:cs="仿宋_GB2312"/>
                <w:kern w:val="0"/>
                <w:szCs w:val="21"/>
                <w:lang w:val="en-US" w:eastAsia="zh-CN"/>
              </w:rPr>
              <w:t>.50</w:t>
            </w:r>
          </w:p>
        </w:tc>
        <w:tc>
          <w:tcPr>
            <w:tcW w:w="22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0.47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0.00</w:t>
            </w:r>
          </w:p>
        </w:tc>
        <w:tc>
          <w:tcPr>
            <w:tcW w:w="22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520" w:lineRule="exact"/>
              <w:ind w:right="0" w:rightChars="0"/>
              <w:jc w:val="center"/>
              <w:textAlignment w:val="auto"/>
              <w:rPr>
                <w:rFonts w:ascii="宋体" w:hAnsi="宋体" w:cs="宋体"/>
                <w:kern w:val="0"/>
                <w:szCs w:val="21"/>
              </w:rPr>
            </w:pPr>
            <w:r>
              <w:rPr>
                <w:rFonts w:hint="eastAsia" w:ascii="仿宋_GB2312" w:hAnsi="仿宋_GB2312" w:eastAsia="仿宋_GB2312" w:cs="仿宋_GB2312"/>
                <w:kern w:val="0"/>
                <w:szCs w:val="21"/>
                <w:lang w:val="en-US" w:eastAsia="zh-CN"/>
              </w:rPr>
              <w:t>0.00</w:t>
            </w:r>
          </w:p>
        </w:tc>
      </w:tr>
    </w:tbl>
    <w:p>
      <w:pPr>
        <w:ind w:firstLine="640" w:firstLineChars="200"/>
        <w:rPr>
          <w:rFonts w:ascii="黑体" w:hAnsi="黑体" w:eastAsia="黑体"/>
          <w:szCs w:val="32"/>
        </w:rPr>
      </w:pPr>
      <w:r>
        <w:rPr>
          <w:rFonts w:hint="eastAsia" w:ascii="黑体" w:hAnsi="黑体" w:eastAsia="黑体"/>
          <w:szCs w:val="32"/>
        </w:rPr>
        <w:t xml:space="preserve">                                      </w:t>
      </w: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、20</w:t>
      </w:r>
      <w:r>
        <w:rPr>
          <w:rFonts w:hint="eastAsia" w:ascii="黑体" w:hAnsi="黑体" w:eastAsia="黑体"/>
          <w:szCs w:val="32"/>
        </w:rPr>
        <w:t>20</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42" w:firstLineChars="200"/>
        <w:rPr>
          <w:rFonts w:ascii="仿宋_GB2312" w:hAnsi="仿宋"/>
          <w:b/>
          <w:szCs w:val="32"/>
        </w:rPr>
      </w:pPr>
      <w:r>
        <w:rPr>
          <w:rFonts w:hint="eastAsia" w:ascii="仿宋_GB2312" w:hAnsi="仿宋"/>
          <w:b/>
          <w:szCs w:val="32"/>
        </w:rPr>
        <w:t>（一）一般公共预算财政拨款“三公”经费支出决算总体情况说明。</w:t>
      </w:r>
    </w:p>
    <w:p>
      <w:pPr>
        <w:ind w:firstLine="640" w:firstLineChars="200"/>
        <w:rPr>
          <w:rFonts w:ascii="仿宋_GB2312" w:hAnsi="仿宋"/>
          <w:szCs w:val="32"/>
        </w:rPr>
      </w:pPr>
      <w:r>
        <w:rPr>
          <w:rFonts w:hint="eastAsia" w:ascii="仿宋_GB2312" w:hAnsi="仿宋"/>
          <w:szCs w:val="32"/>
          <w:lang w:eastAsia="zh-CN"/>
        </w:rPr>
        <w:t>淮</w:t>
      </w:r>
      <w:r>
        <w:rPr>
          <w:rFonts w:hint="eastAsia" w:ascii="仿宋_GB2312" w:hAnsi="仿宋"/>
          <w:szCs w:val="32"/>
          <w:lang w:val="en-US" w:eastAsia="zh-CN"/>
        </w:rPr>
        <w:t>北市林业局本级2020年度一般公共预算财政拨款“三公”经费支出预算为7.80万元，支出决算为6.57万元，完成预算的84.23%，决算数小于预算数</w:t>
      </w:r>
      <w:r>
        <w:rPr>
          <w:rFonts w:hint="eastAsia" w:ascii="仿宋_GB2312" w:hAnsi="仿宋"/>
          <w:szCs w:val="32"/>
        </w:rPr>
        <w:t>的主要原因是</w:t>
      </w:r>
      <w:r>
        <w:rPr>
          <w:rFonts w:hint="eastAsia" w:ascii="仿宋_GB2312" w:hAnsi="仿宋"/>
          <w:szCs w:val="32"/>
          <w:lang w:val="en-US" w:eastAsia="zh-CN"/>
        </w:rPr>
        <w:t>2020年疫情影响下来淮交流单位减少，公务接待次数减少</w:t>
      </w:r>
      <w:r>
        <w:rPr>
          <w:rFonts w:hint="eastAsia" w:ascii="仿宋_GB2312" w:hAnsi="仿宋"/>
          <w:szCs w:val="32"/>
          <w:lang w:eastAsia="zh-CN"/>
        </w:rPr>
        <w:t>。</w:t>
      </w:r>
    </w:p>
    <w:p>
      <w:pPr>
        <w:ind w:firstLine="642"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40" w:firstLineChars="200"/>
        <w:rPr>
          <w:rFonts w:ascii="仿宋_GB2312" w:hAnsi="仿宋"/>
          <w:szCs w:val="32"/>
        </w:rPr>
      </w:pPr>
      <w:r>
        <w:rPr>
          <w:rFonts w:hint="eastAsia" w:ascii="仿宋_GB2312" w:hAnsi="仿宋"/>
          <w:szCs w:val="32"/>
          <w:lang w:eastAsia="zh-CN"/>
        </w:rPr>
        <w:t>淮北市林业局本级</w:t>
      </w:r>
      <w:r>
        <w:rPr>
          <w:rFonts w:hint="eastAsia" w:ascii="仿宋_GB2312" w:hAnsi="仿宋"/>
          <w:szCs w:val="32"/>
        </w:rPr>
        <w:t>2020年度一般公共预算财政拨款“三公”经费支出决算中，因公出国（境）费支出决算</w:t>
      </w:r>
      <w:r>
        <w:rPr>
          <w:rFonts w:hint="eastAsia" w:ascii="仿宋_GB2312" w:hAnsi="仿宋"/>
          <w:szCs w:val="32"/>
          <w:lang w:val="en-US" w:eastAsia="zh-CN"/>
        </w:rPr>
        <w:t>4.27</w:t>
      </w:r>
      <w:r>
        <w:rPr>
          <w:rFonts w:hint="eastAsia" w:ascii="仿宋_GB2312" w:hAnsi="仿宋"/>
          <w:szCs w:val="32"/>
        </w:rPr>
        <w:t>万元，占</w:t>
      </w:r>
      <w:r>
        <w:rPr>
          <w:rFonts w:hint="eastAsia" w:ascii="仿宋_GB2312" w:hAnsi="仿宋"/>
          <w:szCs w:val="32"/>
          <w:lang w:val="en-US" w:eastAsia="zh-CN"/>
        </w:rPr>
        <w:t>64.99</w:t>
      </w:r>
      <w:r>
        <w:rPr>
          <w:rFonts w:hint="eastAsia" w:ascii="仿宋_GB2312" w:hAnsi="仿宋"/>
          <w:szCs w:val="32"/>
        </w:rPr>
        <w:t>%;公务接待费支出决算</w:t>
      </w:r>
      <w:r>
        <w:rPr>
          <w:rFonts w:hint="eastAsia" w:ascii="仿宋_GB2312" w:hAnsi="仿宋"/>
          <w:szCs w:val="32"/>
          <w:lang w:val="en-US" w:eastAsia="zh-CN"/>
        </w:rPr>
        <w:t>1.83</w:t>
      </w:r>
      <w:r>
        <w:rPr>
          <w:rFonts w:hint="eastAsia" w:ascii="仿宋_GB2312" w:hAnsi="仿宋"/>
          <w:szCs w:val="32"/>
        </w:rPr>
        <w:t>万元，占</w:t>
      </w:r>
      <w:r>
        <w:rPr>
          <w:rFonts w:hint="eastAsia" w:ascii="仿宋_GB2312" w:hAnsi="仿宋"/>
          <w:szCs w:val="32"/>
          <w:lang w:val="en-US" w:eastAsia="zh-CN"/>
        </w:rPr>
        <w:t>27.85</w:t>
      </w:r>
      <w:r>
        <w:rPr>
          <w:rFonts w:hint="eastAsia" w:ascii="仿宋_GB2312" w:hAnsi="仿宋"/>
          <w:szCs w:val="32"/>
        </w:rPr>
        <w:t>%；公务用车购置及运行维护费支出决算</w:t>
      </w:r>
      <w:r>
        <w:rPr>
          <w:rFonts w:hint="eastAsia" w:ascii="仿宋_GB2312" w:hAnsi="仿宋"/>
          <w:szCs w:val="32"/>
          <w:lang w:val="en-US" w:eastAsia="zh-CN"/>
        </w:rPr>
        <w:t>0.47</w:t>
      </w:r>
      <w:r>
        <w:rPr>
          <w:rFonts w:hint="eastAsia" w:ascii="仿宋_GB2312" w:hAnsi="仿宋"/>
          <w:szCs w:val="32"/>
        </w:rPr>
        <w:t>万元，占</w:t>
      </w:r>
      <w:r>
        <w:rPr>
          <w:rFonts w:hint="eastAsia" w:ascii="仿宋_GB2312" w:hAnsi="仿宋"/>
          <w:szCs w:val="32"/>
          <w:lang w:val="en-US" w:eastAsia="zh-CN"/>
        </w:rPr>
        <w:t>7.15</w:t>
      </w:r>
      <w:r>
        <w:rPr>
          <w:rFonts w:hint="eastAsia" w:ascii="仿宋_GB2312" w:hAnsi="仿宋"/>
          <w:szCs w:val="32"/>
        </w:rPr>
        <w:t>%。具体情况如下：</w:t>
      </w:r>
    </w:p>
    <w:p>
      <w:pPr>
        <w:ind w:firstLine="628"/>
        <w:rPr>
          <w:rFonts w:ascii="仿宋_GB2312" w:hAnsi="仿宋"/>
          <w:szCs w:val="32"/>
        </w:rPr>
      </w:pPr>
      <w:r>
        <w:rPr>
          <w:rFonts w:hint="eastAsia" w:ascii="仿宋_GB2312" w:hAnsi="仿宋"/>
          <w:b/>
          <w:bCs/>
          <w:szCs w:val="32"/>
        </w:rPr>
        <w:t>1.因公出国（境）费支出</w:t>
      </w:r>
      <w:r>
        <w:rPr>
          <w:rFonts w:hint="eastAsia" w:ascii="仿宋_GB2312" w:hAnsi="仿宋"/>
          <w:szCs w:val="32"/>
          <w:lang w:val="en-US" w:eastAsia="zh-CN"/>
        </w:rPr>
        <w:t>4.27</w:t>
      </w:r>
      <w:r>
        <w:rPr>
          <w:rFonts w:hint="eastAsia" w:ascii="仿宋_GB2312" w:hAnsi="仿宋"/>
          <w:szCs w:val="32"/>
        </w:rPr>
        <w:t>万元，与2020年度预算相比，</w:t>
      </w:r>
      <w:r>
        <w:rPr>
          <w:rFonts w:hint="eastAsia" w:ascii="仿宋_GB2312" w:hAnsi="仿宋"/>
          <w:szCs w:val="32"/>
          <w:lang w:eastAsia="zh-CN"/>
        </w:rPr>
        <w:t>减少</w:t>
      </w:r>
      <w:r>
        <w:rPr>
          <w:rFonts w:hint="eastAsia" w:ascii="仿宋_GB2312" w:hAnsi="仿宋"/>
          <w:szCs w:val="32"/>
          <w:lang w:val="en-US" w:eastAsia="zh-CN"/>
        </w:rPr>
        <w:t>0.03</w:t>
      </w:r>
      <w:r>
        <w:rPr>
          <w:rFonts w:hint="eastAsia" w:ascii="仿宋_GB2312" w:hAnsi="仿宋"/>
          <w:szCs w:val="32"/>
          <w:lang w:eastAsia="zh-CN"/>
        </w:rPr>
        <w:t>万元，下降</w:t>
      </w:r>
      <w:r>
        <w:rPr>
          <w:rFonts w:hint="eastAsia" w:ascii="仿宋_GB2312" w:hAnsi="仿宋"/>
          <w:szCs w:val="32"/>
          <w:lang w:val="en-US" w:eastAsia="zh-CN"/>
        </w:rPr>
        <w:t>0.70</w:t>
      </w:r>
      <w:r>
        <w:rPr>
          <w:rFonts w:hint="eastAsia" w:ascii="仿宋_GB2312" w:hAnsi="仿宋"/>
          <w:szCs w:val="32"/>
          <w:lang w:eastAsia="zh-CN"/>
        </w:rPr>
        <w:t>%，下降的原因是因公出国（境）费支出报销数额有零头</w:t>
      </w:r>
      <w:r>
        <w:rPr>
          <w:rFonts w:hint="eastAsia" w:ascii="仿宋_GB2312" w:hAnsi="仿宋"/>
          <w:szCs w:val="32"/>
        </w:rPr>
        <w:t>。2020年</w:t>
      </w:r>
      <w:r>
        <w:rPr>
          <w:rFonts w:hint="eastAsia" w:ascii="仿宋_GB2312" w:hAnsi="仿宋"/>
          <w:szCs w:val="32"/>
          <w:lang w:eastAsia="zh-CN"/>
        </w:rPr>
        <w:t>淮北市林业局本级</w:t>
      </w:r>
      <w:r>
        <w:rPr>
          <w:rFonts w:hint="eastAsia" w:ascii="仿宋_GB2312" w:hAnsi="仿宋"/>
          <w:szCs w:val="32"/>
        </w:rPr>
        <w:t>因公出国（境）团组</w:t>
      </w:r>
      <w:r>
        <w:rPr>
          <w:rFonts w:hint="eastAsia" w:ascii="仿宋_GB2312" w:hAnsi="仿宋"/>
          <w:szCs w:val="32"/>
          <w:lang w:val="en-US" w:eastAsia="zh-CN"/>
        </w:rPr>
        <w:t>1</w:t>
      </w:r>
      <w:r>
        <w:rPr>
          <w:rFonts w:hint="eastAsia" w:ascii="仿宋_GB2312" w:hAnsi="仿宋"/>
          <w:szCs w:val="32"/>
        </w:rPr>
        <w:t>次，累计出国（境）</w:t>
      </w:r>
      <w:r>
        <w:rPr>
          <w:rFonts w:hint="eastAsia" w:ascii="仿宋_GB2312" w:hAnsi="仿宋"/>
          <w:szCs w:val="32"/>
          <w:lang w:val="en-US" w:eastAsia="zh-CN"/>
        </w:rPr>
        <w:t>1</w:t>
      </w:r>
      <w:r>
        <w:rPr>
          <w:rFonts w:hint="eastAsia" w:ascii="仿宋_GB2312" w:hAnsi="仿宋"/>
          <w:szCs w:val="32"/>
        </w:rPr>
        <w:t>人次。该项经费根据市外办批准的因公临时出国（境）计划，按照规定标准安排。主要是用于</w:t>
      </w:r>
      <w:r>
        <w:rPr>
          <w:rFonts w:hint="eastAsia" w:ascii="仿宋_GB2312" w:hAnsi="仿宋"/>
          <w:szCs w:val="32"/>
          <w:lang w:val="en-US" w:eastAsia="zh-CN"/>
        </w:rPr>
        <w:t>陶士军赴以色列和埃及执行洽谈干旱地区生态修复和苗木良种种植培育技术合作</w:t>
      </w:r>
      <w:r>
        <w:rPr>
          <w:rFonts w:hint="eastAsia" w:ascii="仿宋_GB2312" w:hAnsi="仿宋"/>
          <w:szCs w:val="32"/>
        </w:rPr>
        <w:t>。经费使用严格相关规定执行。</w:t>
      </w:r>
    </w:p>
    <w:p>
      <w:pPr>
        <w:ind w:firstLine="628"/>
        <w:rPr>
          <w:rFonts w:ascii="仿宋_GB2312" w:hAnsi="仿宋"/>
          <w:szCs w:val="32"/>
        </w:rPr>
      </w:pPr>
      <w:r>
        <w:rPr>
          <w:rFonts w:hint="eastAsia" w:ascii="仿宋_GB2312" w:hAnsi="仿宋"/>
          <w:b/>
          <w:bCs/>
          <w:szCs w:val="32"/>
        </w:rPr>
        <w:t>2.公务接待费支出</w:t>
      </w:r>
      <w:r>
        <w:rPr>
          <w:rFonts w:hint="eastAsia" w:ascii="仿宋_GB2312" w:hAnsi="仿宋"/>
          <w:szCs w:val="32"/>
          <w:lang w:val="en-US" w:eastAsia="zh-CN"/>
        </w:rPr>
        <w:t>1.83</w:t>
      </w:r>
      <w:r>
        <w:rPr>
          <w:rFonts w:hint="eastAsia" w:ascii="仿宋_GB2312" w:hAnsi="仿宋"/>
          <w:szCs w:val="32"/>
          <w:lang w:eastAsia="zh-CN"/>
        </w:rPr>
        <w:t>万元，</w:t>
      </w:r>
      <w:r>
        <w:rPr>
          <w:rFonts w:hint="eastAsia" w:ascii="仿宋_GB2312" w:hAnsi="仿宋"/>
          <w:szCs w:val="32"/>
        </w:rPr>
        <w:t>与2020年度预算相比，减少</w:t>
      </w:r>
      <w:r>
        <w:rPr>
          <w:rFonts w:hint="eastAsia" w:ascii="仿宋_GB2312" w:hAnsi="仿宋"/>
          <w:szCs w:val="32"/>
          <w:lang w:val="en-US" w:eastAsia="zh-CN"/>
        </w:rPr>
        <w:t>1.17</w:t>
      </w:r>
      <w:r>
        <w:rPr>
          <w:rFonts w:hint="eastAsia" w:ascii="仿宋_GB2312" w:hAnsi="仿宋"/>
          <w:szCs w:val="32"/>
        </w:rPr>
        <w:t>万元，下降</w:t>
      </w:r>
      <w:r>
        <w:rPr>
          <w:rFonts w:hint="eastAsia" w:ascii="仿宋_GB2312" w:hAnsi="仿宋"/>
          <w:szCs w:val="32"/>
          <w:lang w:val="en-US" w:eastAsia="zh-CN"/>
        </w:rPr>
        <w:t>39</w:t>
      </w:r>
      <w:r>
        <w:rPr>
          <w:rFonts w:hint="eastAsia" w:ascii="仿宋_GB2312" w:hAnsi="仿宋"/>
          <w:szCs w:val="32"/>
        </w:rPr>
        <w:t>%，下降的原因是</w:t>
      </w:r>
      <w:r>
        <w:rPr>
          <w:rFonts w:hint="eastAsia" w:ascii="仿宋_GB2312" w:hAnsi="仿宋"/>
          <w:szCs w:val="32"/>
          <w:lang w:val="en-US" w:eastAsia="zh-CN"/>
        </w:rPr>
        <w:t>2020年疫情影响下来淮交流单位减少，公务接待次数减少</w:t>
      </w:r>
      <w:r>
        <w:rPr>
          <w:rFonts w:hint="eastAsia" w:ascii="仿宋_GB2312" w:hAnsi="仿宋"/>
          <w:szCs w:val="32"/>
        </w:rPr>
        <w:t>。2020年</w:t>
      </w:r>
      <w:r>
        <w:rPr>
          <w:rFonts w:hint="eastAsia" w:ascii="仿宋_GB2312" w:hAnsi="仿宋"/>
          <w:szCs w:val="32"/>
          <w:lang w:eastAsia="zh-CN"/>
        </w:rPr>
        <w:t>淮北市林业局本级</w:t>
      </w:r>
      <w:r>
        <w:rPr>
          <w:rFonts w:hint="eastAsia" w:ascii="仿宋_GB2312" w:hAnsi="仿宋"/>
          <w:szCs w:val="32"/>
        </w:rPr>
        <w:t>国内公务接待共</w:t>
      </w:r>
      <w:r>
        <w:rPr>
          <w:rFonts w:hint="eastAsia" w:ascii="仿宋_GB2312" w:hAnsi="仿宋"/>
          <w:szCs w:val="32"/>
          <w:lang w:val="en-US" w:eastAsia="zh-CN"/>
        </w:rPr>
        <w:t>17</w:t>
      </w:r>
      <w:r>
        <w:rPr>
          <w:rFonts w:hint="eastAsia" w:ascii="仿宋_GB2312" w:hAnsi="仿宋"/>
          <w:szCs w:val="32"/>
        </w:rPr>
        <w:t>批次（其中外事接待</w:t>
      </w:r>
      <w:r>
        <w:rPr>
          <w:rFonts w:hint="eastAsia" w:ascii="仿宋_GB2312" w:hAnsi="仿宋"/>
          <w:szCs w:val="32"/>
          <w:lang w:val="en-US" w:eastAsia="zh-CN"/>
        </w:rPr>
        <w:t>0</w:t>
      </w:r>
      <w:r>
        <w:rPr>
          <w:rFonts w:hint="eastAsia" w:ascii="仿宋_GB2312" w:hAnsi="仿宋"/>
          <w:szCs w:val="32"/>
        </w:rPr>
        <w:t>批次），</w:t>
      </w:r>
      <w:r>
        <w:rPr>
          <w:rFonts w:hint="eastAsia" w:ascii="仿宋_GB2312" w:hAnsi="仿宋"/>
          <w:szCs w:val="32"/>
          <w:lang w:val="en-US" w:eastAsia="zh-CN"/>
        </w:rPr>
        <w:t>228</w:t>
      </w:r>
      <w:r>
        <w:rPr>
          <w:rFonts w:hint="eastAsia" w:ascii="仿宋_GB2312" w:hAnsi="仿宋"/>
          <w:szCs w:val="32"/>
        </w:rPr>
        <w:t>人次（其中外事接待</w:t>
      </w:r>
      <w:r>
        <w:rPr>
          <w:rFonts w:hint="eastAsia" w:ascii="仿宋_GB2312" w:hAnsi="仿宋"/>
          <w:szCs w:val="32"/>
          <w:lang w:val="en-US" w:eastAsia="zh-CN"/>
        </w:rPr>
        <w:t>0</w:t>
      </w:r>
      <w:r>
        <w:rPr>
          <w:rFonts w:hint="eastAsia" w:ascii="仿宋_GB2312" w:hAnsi="仿宋"/>
          <w:szCs w:val="32"/>
        </w:rPr>
        <w:t>人次）。主要是用于</w:t>
      </w:r>
      <w:r>
        <w:rPr>
          <w:rFonts w:hint="eastAsia" w:ascii="仿宋_GB2312" w:hAnsi="仿宋"/>
          <w:szCs w:val="32"/>
          <w:lang w:val="en-US" w:eastAsia="zh-CN"/>
        </w:rPr>
        <w:t>接待上级、外省单位业务指导和工作调研等公务往来支出</w:t>
      </w:r>
      <w:r>
        <w:rPr>
          <w:rFonts w:hint="eastAsia" w:ascii="仿宋_GB2312" w:hAnsi="仿宋"/>
          <w:szCs w:val="32"/>
        </w:rPr>
        <w:t>。经费使用严格贯彻中央</w:t>
      </w:r>
      <w:bookmarkStart w:id="0" w:name="_GoBack"/>
      <w:bookmarkEnd w:id="0"/>
      <w:r>
        <w:rPr>
          <w:rFonts w:hint="eastAsia" w:ascii="仿宋_GB2312" w:hAnsi="仿宋"/>
          <w:szCs w:val="32"/>
        </w:rPr>
        <w:t>八项规定要求，严格执行《党政机关厉行节约反对浪费条例》、淮北市公务接待相关规定等。</w:t>
      </w:r>
    </w:p>
    <w:p>
      <w:pPr>
        <w:ind w:firstLine="642" w:firstLineChars="200"/>
        <w:rPr>
          <w:rFonts w:ascii="仿宋_GB2312" w:hAnsi="仿宋"/>
          <w:szCs w:val="32"/>
        </w:rPr>
      </w:pPr>
      <w:r>
        <w:rPr>
          <w:rFonts w:hint="eastAsia" w:ascii="仿宋_GB2312" w:hAnsi="仿宋"/>
          <w:b/>
          <w:bCs/>
          <w:szCs w:val="32"/>
        </w:rPr>
        <w:t>3.公务用车购置及运行维护费支出</w:t>
      </w:r>
      <w:r>
        <w:rPr>
          <w:rFonts w:hint="eastAsia" w:ascii="仿宋_GB2312" w:hAnsi="仿宋"/>
          <w:b w:val="0"/>
          <w:bCs w:val="0"/>
          <w:szCs w:val="32"/>
          <w:lang w:val="en-US" w:eastAsia="zh-CN"/>
        </w:rPr>
        <w:t>0.47</w:t>
      </w:r>
      <w:r>
        <w:rPr>
          <w:rFonts w:hint="eastAsia" w:ascii="仿宋_GB2312" w:hAnsi="仿宋"/>
          <w:b w:val="0"/>
          <w:bCs w:val="0"/>
          <w:szCs w:val="32"/>
        </w:rPr>
        <w:t>万</w:t>
      </w:r>
      <w:r>
        <w:rPr>
          <w:rFonts w:hint="eastAsia" w:ascii="仿宋_GB2312" w:hAnsi="仿宋"/>
          <w:szCs w:val="32"/>
        </w:rPr>
        <w:t>元，与2020年度预算相比，减少</w:t>
      </w:r>
      <w:r>
        <w:rPr>
          <w:rFonts w:hint="eastAsia" w:ascii="仿宋_GB2312" w:hAnsi="仿宋"/>
          <w:szCs w:val="32"/>
          <w:lang w:val="en-US" w:eastAsia="zh-CN"/>
        </w:rPr>
        <w:t>0.03</w:t>
      </w:r>
      <w:r>
        <w:rPr>
          <w:rFonts w:hint="eastAsia" w:ascii="仿宋_GB2312" w:hAnsi="仿宋"/>
          <w:szCs w:val="32"/>
        </w:rPr>
        <w:t>万元，下降</w:t>
      </w:r>
      <w:r>
        <w:rPr>
          <w:rFonts w:hint="eastAsia" w:ascii="仿宋_GB2312" w:hAnsi="仿宋"/>
          <w:szCs w:val="32"/>
          <w:lang w:val="en-US" w:eastAsia="zh-CN"/>
        </w:rPr>
        <w:t>6</w:t>
      </w:r>
      <w:r>
        <w:rPr>
          <w:rFonts w:hint="eastAsia" w:ascii="仿宋_GB2312" w:hAnsi="仿宋"/>
          <w:szCs w:val="32"/>
        </w:rPr>
        <w:t>%，下降的原因是按照中央、省、市关于三公经费只减不增的要求，我局强化管理，注重实际效益，厉行勤俭节约。其中，2020年没有安排公务用车购置费</w:t>
      </w:r>
      <w:r>
        <w:rPr>
          <w:rFonts w:hint="eastAsia" w:ascii="楷体_GB2312" w:hAnsi="仿宋" w:eastAsia="楷体_GB2312"/>
          <w:szCs w:val="32"/>
        </w:rPr>
        <w:t>。</w:t>
      </w:r>
      <w:r>
        <w:rPr>
          <w:rFonts w:hint="eastAsia" w:ascii="仿宋_GB2312" w:hAnsi="仿宋"/>
          <w:szCs w:val="32"/>
        </w:rPr>
        <w:t>公务用车运行维护费</w:t>
      </w:r>
      <w:r>
        <w:rPr>
          <w:rFonts w:hint="eastAsia" w:ascii="仿宋_GB2312" w:hAnsi="仿宋"/>
          <w:szCs w:val="32"/>
          <w:lang w:val="en-US" w:eastAsia="zh-CN"/>
        </w:rPr>
        <w:t>0.47</w:t>
      </w:r>
      <w:r>
        <w:rPr>
          <w:rFonts w:hint="eastAsia" w:ascii="仿宋_GB2312" w:hAnsi="仿宋"/>
          <w:szCs w:val="32"/>
        </w:rPr>
        <w:t>万元，与2020年度预算相比，减少</w:t>
      </w:r>
      <w:r>
        <w:rPr>
          <w:rFonts w:hint="eastAsia" w:ascii="仿宋_GB2312" w:hAnsi="仿宋"/>
          <w:szCs w:val="32"/>
          <w:lang w:val="en-US" w:eastAsia="zh-CN"/>
        </w:rPr>
        <w:t>0.03</w:t>
      </w:r>
      <w:r>
        <w:rPr>
          <w:rFonts w:hint="eastAsia" w:ascii="仿宋_GB2312" w:hAnsi="仿宋"/>
          <w:szCs w:val="32"/>
        </w:rPr>
        <w:t>万元，下降</w:t>
      </w:r>
      <w:r>
        <w:rPr>
          <w:rFonts w:hint="eastAsia" w:ascii="仿宋_GB2312" w:hAnsi="仿宋"/>
          <w:szCs w:val="32"/>
          <w:lang w:val="en-US" w:eastAsia="zh-CN"/>
        </w:rPr>
        <w:t>6</w:t>
      </w:r>
      <w:r>
        <w:rPr>
          <w:rFonts w:hint="eastAsia" w:ascii="仿宋_GB2312" w:hAnsi="仿宋"/>
          <w:szCs w:val="32"/>
        </w:rPr>
        <w:t>%，下降的原因是按照中央、省、市关于三公经费只减不增的要求，我局强化管理，注重实际效益，厉行勤俭节约。公务用车运行维护费，包括车辆燃料费、维修费、过路过桥费、保险费等支出，主要用于</w:t>
      </w:r>
      <w:r>
        <w:rPr>
          <w:rFonts w:hint="eastAsia" w:ascii="仿宋_GB2312" w:hAnsi="仿宋"/>
          <w:szCs w:val="32"/>
          <w:lang w:eastAsia="zh-CN"/>
        </w:rPr>
        <w:t>省林业局组织的林业有害生物防治检疫市级互查</w:t>
      </w:r>
      <w:r>
        <w:rPr>
          <w:rFonts w:hint="eastAsia" w:ascii="仿宋_GB2312" w:hAnsi="仿宋"/>
          <w:szCs w:val="32"/>
        </w:rPr>
        <w:t>。截至2020年12月31日，</w:t>
      </w:r>
      <w:r>
        <w:rPr>
          <w:rFonts w:hint="eastAsia" w:ascii="仿宋_GB2312" w:hAnsi="仿宋"/>
          <w:szCs w:val="32"/>
          <w:lang w:eastAsia="zh-CN"/>
        </w:rPr>
        <w:t>淮北市林业局本级</w:t>
      </w:r>
      <w:r>
        <w:rPr>
          <w:rFonts w:hint="eastAsia" w:ascii="仿宋_GB2312" w:hAnsi="仿宋"/>
          <w:szCs w:val="32"/>
        </w:rPr>
        <w:t>开支财政拨款的公务用车保有量为</w:t>
      </w:r>
      <w:r>
        <w:rPr>
          <w:rFonts w:hint="eastAsia" w:ascii="仿宋_GB2312" w:hAnsi="仿宋"/>
          <w:szCs w:val="32"/>
          <w:lang w:val="en-US" w:eastAsia="zh-CN"/>
        </w:rPr>
        <w:t>9</w:t>
      </w:r>
      <w:r>
        <w:rPr>
          <w:rFonts w:hint="eastAsia" w:ascii="仿宋_GB2312" w:hAnsi="仿宋"/>
          <w:szCs w:val="32"/>
        </w:rPr>
        <w:t>辆。</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03BC"/>
    <w:rsid w:val="002F6DE8"/>
    <w:rsid w:val="00326726"/>
    <w:rsid w:val="003547B8"/>
    <w:rsid w:val="003671B4"/>
    <w:rsid w:val="003B6E2C"/>
    <w:rsid w:val="00497C22"/>
    <w:rsid w:val="004D6484"/>
    <w:rsid w:val="00613D73"/>
    <w:rsid w:val="00656EC6"/>
    <w:rsid w:val="006B3BF0"/>
    <w:rsid w:val="007719A9"/>
    <w:rsid w:val="008A3C6F"/>
    <w:rsid w:val="009770F9"/>
    <w:rsid w:val="009D2B9A"/>
    <w:rsid w:val="00A00C09"/>
    <w:rsid w:val="00A92496"/>
    <w:rsid w:val="00AB0278"/>
    <w:rsid w:val="00B14CD1"/>
    <w:rsid w:val="00B2159B"/>
    <w:rsid w:val="00B72524"/>
    <w:rsid w:val="00CE25D9"/>
    <w:rsid w:val="00D2629D"/>
    <w:rsid w:val="00D303BC"/>
    <w:rsid w:val="00D9784E"/>
    <w:rsid w:val="00DB321D"/>
    <w:rsid w:val="00E02B6D"/>
    <w:rsid w:val="00E8160A"/>
    <w:rsid w:val="00FC29F2"/>
    <w:rsid w:val="02BB6F86"/>
    <w:rsid w:val="08BA49DD"/>
    <w:rsid w:val="0C265CFF"/>
    <w:rsid w:val="0DD359BA"/>
    <w:rsid w:val="1815568F"/>
    <w:rsid w:val="19740ACF"/>
    <w:rsid w:val="1DA85FB6"/>
    <w:rsid w:val="1E2223FC"/>
    <w:rsid w:val="211E4363"/>
    <w:rsid w:val="22E4044C"/>
    <w:rsid w:val="23796741"/>
    <w:rsid w:val="28EF1CB6"/>
    <w:rsid w:val="2CEE6CC2"/>
    <w:rsid w:val="3B5612E6"/>
    <w:rsid w:val="3C670229"/>
    <w:rsid w:val="3E273F74"/>
    <w:rsid w:val="41FC65D1"/>
    <w:rsid w:val="44F078A8"/>
    <w:rsid w:val="49BC2984"/>
    <w:rsid w:val="4A2026A9"/>
    <w:rsid w:val="4B427308"/>
    <w:rsid w:val="4C831E93"/>
    <w:rsid w:val="50E56BC4"/>
    <w:rsid w:val="52E5410B"/>
    <w:rsid w:val="557C634E"/>
    <w:rsid w:val="567974EA"/>
    <w:rsid w:val="58DB6CD4"/>
    <w:rsid w:val="597B335B"/>
    <w:rsid w:val="5A20470D"/>
    <w:rsid w:val="5DB81151"/>
    <w:rsid w:val="66D1483C"/>
    <w:rsid w:val="67C563CE"/>
    <w:rsid w:val="69F134E0"/>
    <w:rsid w:val="6EB76C30"/>
    <w:rsid w:val="6ECF7B5A"/>
    <w:rsid w:val="756C6735"/>
    <w:rsid w:val="7D4819B8"/>
    <w:rsid w:val="7E9520BA"/>
    <w:rsid w:val="7FF62F7B"/>
    <w:rsid w:val="AFFE14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0</TotalTime>
  <ScaleCrop>false</ScaleCrop>
  <LinksUpToDate>false</LinksUpToDate>
  <CharactersWithSpaces>1191</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2021-07-16T08:55:00Z</dcterms:created>
  <dc:creator>丁配泉</dc:creator>
  <cp:lastModifiedBy>user</cp:lastModifiedBy>
  <cp:lastPrinted>2020-09-14T16:17:00Z</cp:lastPrinted>
  <dcterms:modified xsi:type="dcterms:W3CDTF">2023-02-07T17:03:34Z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