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7A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en-US" w:eastAsia="zh-CN"/>
          <w14:ligatures w14:val="none"/>
        </w:rPr>
      </w:pPr>
      <w:r>
        <w:rPr>
          <w:rFonts w:hint="eastAsia" w:ascii="方正小标宋简体" w:hAnsi="方正小标宋简体" w:eastAsia="方正小标宋简体" w:cs="方正小标宋简体"/>
          <w:b w:val="0"/>
          <w:bCs/>
          <w:sz w:val="44"/>
          <w:szCs w:val="44"/>
          <w:lang w:val="en-US" w:eastAsia="zh-CN"/>
          <w14:ligatures w14:val="none"/>
        </w:rPr>
        <w:t>淮北市林业局</w:t>
      </w:r>
    </w:p>
    <w:p w14:paraId="0E619D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14:ligatures w14:val="none"/>
        </w:rPr>
      </w:pPr>
      <w:r>
        <w:rPr>
          <w:rFonts w:hint="eastAsia" w:ascii="方正小标宋简体" w:hAnsi="方正小标宋简体" w:eastAsia="方正小标宋简体" w:cs="方正小标宋简体"/>
          <w:b w:val="0"/>
          <w:bCs/>
          <w:sz w:val="44"/>
          <w:szCs w:val="44"/>
          <w14:ligatures w14:val="none"/>
        </w:rPr>
        <w:t>2023年度一般公共预算财政拨款“三公”经费支出决算</w:t>
      </w:r>
    </w:p>
    <w:p w14:paraId="52A5B9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sz w:val="36"/>
          <w:szCs w:val="36"/>
          <w14:ligatures w14:val="none"/>
        </w:rPr>
      </w:pPr>
    </w:p>
    <w:p w14:paraId="51EBBCD5">
      <w:pPr>
        <w:keepNext w:val="0"/>
        <w:keepLines w:val="0"/>
        <w:pageBreakBefore w:val="0"/>
        <w:widowControl w:val="0"/>
        <w:kinsoku/>
        <w:wordWrap/>
        <w:overflowPunct/>
        <w:topLinePunct w:val="0"/>
        <w:autoSpaceDE/>
        <w:autoSpaceDN/>
        <w:bidi w:val="0"/>
        <w:adjustRightInd/>
        <w:snapToGrid/>
        <w:spacing w:line="240" w:lineRule="auto"/>
        <w:ind w:left="310" w:leftChars="152" w:firstLine="314" w:firstLineChars="100"/>
        <w:textAlignment w:val="auto"/>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一、2023年度一般公共预算财政拨款“三公”经费支出决算表</w:t>
      </w:r>
    </w:p>
    <w:p w14:paraId="5BB82B4B">
      <w:pPr>
        <w:keepNext w:val="0"/>
        <w:keepLines w:val="0"/>
        <w:pageBreakBefore w:val="0"/>
        <w:kinsoku/>
        <w:wordWrap/>
        <w:overflowPunct/>
        <w:topLinePunct w:val="0"/>
        <w:autoSpaceDE/>
        <w:autoSpaceDN/>
        <w:bidi w:val="0"/>
        <w:adjustRightInd/>
        <w:snapToGrid/>
        <w:spacing w:line="240" w:lineRule="auto"/>
        <w:ind w:firstLine="7216" w:firstLineChars="2298"/>
        <w:textAlignment w:val="auto"/>
        <w:rPr>
          <w:rFonts w:hint="eastAsia" w:ascii="黑体" w:hAnsi="黑体" w:eastAsia="黑体" w:cs="Times New Roman"/>
          <w:sz w:val="32"/>
          <w:szCs w:val="32"/>
          <w14:ligatures w14:val="none"/>
        </w:rPr>
      </w:pPr>
      <w:r>
        <w:rPr>
          <w:rFonts w:hint="eastAsia" w:ascii="仿宋_GB2312" w:hAnsi="仿宋_GB2312" w:eastAsia="仿宋_GB2312" w:cs="仿宋_GB2312"/>
          <w:sz w:val="32"/>
          <w:szCs w:val="32"/>
          <w14:ligatures w14:val="none"/>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62CA9D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4361B6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项  目</w:t>
            </w:r>
          </w:p>
        </w:tc>
        <w:tc>
          <w:tcPr>
            <w:tcW w:w="2157" w:type="dxa"/>
            <w:tcBorders>
              <w:top w:val="single" w:color="auto" w:sz="4" w:space="0"/>
              <w:left w:val="nil"/>
              <w:bottom w:val="single" w:color="auto" w:sz="4" w:space="0"/>
              <w:right w:val="single" w:color="auto" w:sz="4" w:space="0"/>
            </w:tcBorders>
            <w:vAlign w:val="center"/>
          </w:tcPr>
          <w:p w14:paraId="16905B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预 算 数</w:t>
            </w:r>
          </w:p>
        </w:tc>
        <w:tc>
          <w:tcPr>
            <w:tcW w:w="2220" w:type="dxa"/>
            <w:tcBorders>
              <w:top w:val="single" w:color="auto" w:sz="4" w:space="0"/>
              <w:left w:val="nil"/>
              <w:bottom w:val="single" w:color="auto" w:sz="4" w:space="0"/>
              <w:right w:val="single" w:color="auto" w:sz="4" w:space="0"/>
            </w:tcBorders>
            <w:vAlign w:val="center"/>
          </w:tcPr>
          <w:p w14:paraId="3B1E58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决 算 数</w:t>
            </w:r>
          </w:p>
        </w:tc>
      </w:tr>
      <w:tr w14:paraId="4E153A4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A7BF9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14:ligatures w14:val="none"/>
              </w:rPr>
              <w:t>合  计</w:t>
            </w:r>
          </w:p>
        </w:tc>
        <w:tc>
          <w:tcPr>
            <w:tcW w:w="2157" w:type="dxa"/>
            <w:tcBorders>
              <w:top w:val="nil"/>
              <w:left w:val="nil"/>
              <w:bottom w:val="single" w:color="auto" w:sz="4" w:space="0"/>
              <w:right w:val="single" w:color="auto" w:sz="4" w:space="0"/>
            </w:tcBorders>
            <w:vAlign w:val="center"/>
          </w:tcPr>
          <w:p w14:paraId="11176C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宋体"/>
                <w:b/>
                <w:bCs/>
                <w:kern w:val="0"/>
                <w:sz w:val="32"/>
                <w:szCs w:val="21"/>
                <w14:ligatures w14:val="none"/>
              </w:rPr>
            </w:pPr>
            <w:r>
              <w:rPr>
                <w:rFonts w:hint="eastAsia" w:ascii="宋体" w:hAnsi="宋体" w:eastAsia="仿宋_GB2312" w:cs="宋体"/>
                <w:b/>
                <w:bCs/>
                <w:kern w:val="0"/>
                <w:sz w:val="32"/>
                <w:szCs w:val="21"/>
                <w:lang w:val="en-US" w:eastAsia="zh-CN"/>
                <w14:ligatures w14:val="none"/>
              </w:rPr>
              <w:t>3</w:t>
            </w:r>
          </w:p>
        </w:tc>
        <w:tc>
          <w:tcPr>
            <w:tcW w:w="2220" w:type="dxa"/>
            <w:tcBorders>
              <w:top w:val="nil"/>
              <w:left w:val="nil"/>
              <w:bottom w:val="single" w:color="auto" w:sz="4" w:space="0"/>
              <w:right w:val="single" w:color="auto" w:sz="4" w:space="0"/>
            </w:tcBorders>
            <w:vAlign w:val="center"/>
          </w:tcPr>
          <w:p w14:paraId="4AA8F0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b/>
                <w:bCs/>
                <w:kern w:val="0"/>
                <w:sz w:val="32"/>
                <w:szCs w:val="21"/>
                <w14:ligatures w14:val="none"/>
              </w:rPr>
            </w:pPr>
            <w:r>
              <w:rPr>
                <w:rFonts w:hint="eastAsia" w:ascii="宋体" w:hAnsi="宋体" w:eastAsia="仿宋_GB2312" w:cs="宋体"/>
                <w:b/>
                <w:bCs/>
                <w:kern w:val="0"/>
                <w:sz w:val="32"/>
                <w:szCs w:val="21"/>
                <w:lang w:val="en-US" w:eastAsia="zh-CN"/>
                <w14:ligatures w14:val="none"/>
              </w:rPr>
              <w:t>2.98</w:t>
            </w:r>
          </w:p>
        </w:tc>
      </w:tr>
      <w:tr w14:paraId="642AD53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F69F2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因公出国（境）费</w:t>
            </w:r>
          </w:p>
        </w:tc>
        <w:tc>
          <w:tcPr>
            <w:tcW w:w="2157" w:type="dxa"/>
            <w:tcBorders>
              <w:top w:val="nil"/>
              <w:left w:val="nil"/>
              <w:bottom w:val="single" w:color="auto" w:sz="4" w:space="0"/>
              <w:right w:val="single" w:color="auto" w:sz="4" w:space="0"/>
            </w:tcBorders>
            <w:vAlign w:val="bottom"/>
          </w:tcPr>
          <w:p w14:paraId="3E8780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0</w:t>
            </w:r>
          </w:p>
        </w:tc>
        <w:tc>
          <w:tcPr>
            <w:tcW w:w="2220" w:type="dxa"/>
            <w:tcBorders>
              <w:top w:val="nil"/>
              <w:left w:val="nil"/>
              <w:bottom w:val="single" w:color="auto" w:sz="4" w:space="0"/>
              <w:right w:val="single" w:color="auto" w:sz="4" w:space="0"/>
            </w:tcBorders>
            <w:vAlign w:val="bottom"/>
          </w:tcPr>
          <w:p w14:paraId="6F6A82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0</w:t>
            </w:r>
          </w:p>
        </w:tc>
      </w:tr>
      <w:tr w14:paraId="04FC397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A4267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公务接待费</w:t>
            </w:r>
          </w:p>
        </w:tc>
        <w:tc>
          <w:tcPr>
            <w:tcW w:w="2157" w:type="dxa"/>
            <w:tcBorders>
              <w:top w:val="nil"/>
              <w:left w:val="nil"/>
              <w:bottom w:val="single" w:color="auto" w:sz="4" w:space="0"/>
              <w:right w:val="single" w:color="auto" w:sz="4" w:space="0"/>
            </w:tcBorders>
          </w:tcPr>
          <w:p w14:paraId="40927F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3</w:t>
            </w:r>
          </w:p>
        </w:tc>
        <w:tc>
          <w:tcPr>
            <w:tcW w:w="2220" w:type="dxa"/>
            <w:tcBorders>
              <w:top w:val="nil"/>
              <w:left w:val="nil"/>
              <w:bottom w:val="single" w:color="auto" w:sz="4" w:space="0"/>
              <w:right w:val="single" w:color="auto" w:sz="4" w:space="0"/>
            </w:tcBorders>
          </w:tcPr>
          <w:p w14:paraId="4F3024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2.98</w:t>
            </w:r>
          </w:p>
        </w:tc>
      </w:tr>
      <w:tr w14:paraId="75B6E22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B35A0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公务用车购置及运行维护费</w:t>
            </w:r>
          </w:p>
        </w:tc>
        <w:tc>
          <w:tcPr>
            <w:tcW w:w="2157" w:type="dxa"/>
            <w:tcBorders>
              <w:top w:val="nil"/>
              <w:left w:val="nil"/>
              <w:bottom w:val="single" w:color="auto" w:sz="4" w:space="0"/>
              <w:right w:val="single" w:color="auto" w:sz="4" w:space="0"/>
            </w:tcBorders>
          </w:tcPr>
          <w:p w14:paraId="334870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7D1A51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r>
      <w:tr w14:paraId="3975BD4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40F46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xml:space="preserve">  其中：公务用车购置费</w:t>
            </w:r>
          </w:p>
        </w:tc>
        <w:tc>
          <w:tcPr>
            <w:tcW w:w="2157" w:type="dxa"/>
            <w:tcBorders>
              <w:top w:val="nil"/>
              <w:left w:val="nil"/>
              <w:bottom w:val="single" w:color="auto" w:sz="4" w:space="0"/>
              <w:right w:val="single" w:color="auto" w:sz="4" w:space="0"/>
            </w:tcBorders>
          </w:tcPr>
          <w:p w14:paraId="5913E6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宋体"/>
                <w:kern w:val="0"/>
                <w:sz w:val="32"/>
                <w:szCs w:val="21"/>
                <w:lang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6B8DC9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仿宋_GB2312" w:cs="宋体"/>
                <w:kern w:val="0"/>
                <w:sz w:val="32"/>
                <w:szCs w:val="21"/>
                <w:lang w:eastAsia="zh-CN"/>
                <w14:ligatures w14:val="none"/>
              </w:rPr>
            </w:pPr>
            <w:r>
              <w:rPr>
                <w:rFonts w:hint="eastAsia" w:ascii="宋体" w:hAnsi="宋体" w:eastAsia="仿宋_GB2312" w:cs="宋体"/>
                <w:kern w:val="0"/>
                <w:sz w:val="32"/>
                <w:szCs w:val="21"/>
                <w:lang w:val="en-US" w:eastAsia="zh-CN"/>
                <w14:ligatures w14:val="none"/>
              </w:rPr>
              <w:t>0</w:t>
            </w:r>
          </w:p>
        </w:tc>
      </w:tr>
      <w:tr w14:paraId="41A9AE2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4EA52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32"/>
                <w:szCs w:val="21"/>
                <w14:ligatures w14:val="none"/>
              </w:rPr>
            </w:pPr>
            <w:r>
              <w:rPr>
                <w:rFonts w:hint="eastAsia" w:ascii="宋体" w:hAnsi="宋体" w:eastAsia="仿宋_GB2312" w:cs="宋体"/>
                <w:kern w:val="0"/>
                <w:sz w:val="32"/>
                <w:szCs w:val="21"/>
                <w14:ligatures w14:val="none"/>
              </w:rPr>
              <w:t xml:space="preserve">        公务用车运行维护费 </w:t>
            </w:r>
          </w:p>
        </w:tc>
        <w:tc>
          <w:tcPr>
            <w:tcW w:w="2157" w:type="dxa"/>
            <w:tcBorders>
              <w:top w:val="nil"/>
              <w:left w:val="nil"/>
              <w:bottom w:val="single" w:color="auto" w:sz="4" w:space="0"/>
              <w:right w:val="single" w:color="auto" w:sz="4" w:space="0"/>
            </w:tcBorders>
          </w:tcPr>
          <w:p w14:paraId="5C639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c>
          <w:tcPr>
            <w:tcW w:w="2220" w:type="dxa"/>
            <w:tcBorders>
              <w:top w:val="nil"/>
              <w:left w:val="nil"/>
              <w:bottom w:val="single" w:color="auto" w:sz="4" w:space="0"/>
              <w:right w:val="single" w:color="auto" w:sz="4" w:space="0"/>
            </w:tcBorders>
          </w:tcPr>
          <w:p w14:paraId="73593D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仿宋_GB2312" w:cs="宋体"/>
                <w:kern w:val="0"/>
                <w:sz w:val="32"/>
                <w:szCs w:val="21"/>
                <w:lang w:val="en-US" w:eastAsia="zh-CN"/>
                <w14:ligatures w14:val="none"/>
              </w:rPr>
            </w:pPr>
            <w:r>
              <w:rPr>
                <w:rFonts w:hint="eastAsia" w:ascii="宋体" w:hAnsi="宋体" w:eastAsia="仿宋_GB2312" w:cs="宋体"/>
                <w:kern w:val="0"/>
                <w:sz w:val="32"/>
                <w:szCs w:val="21"/>
                <w:lang w:val="en-US" w:eastAsia="zh-CN"/>
                <w14:ligatures w14:val="none"/>
              </w:rPr>
              <w:t>0</w:t>
            </w:r>
          </w:p>
        </w:tc>
      </w:tr>
    </w:tbl>
    <w:p w14:paraId="2508A524">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 w:eastAsia="仿宋_GB2312" w:cs="Times New Roman"/>
          <w:szCs w:val="21"/>
          <w14:ligatures w14:val="none"/>
        </w:rPr>
      </w:pPr>
      <w:r>
        <w:rPr>
          <w:rFonts w:hint="eastAsia" w:ascii="仿宋_GB2312" w:hAnsi="仿宋" w:eastAsia="仿宋_GB2312" w:cs="Times New Roman"/>
          <w:szCs w:val="21"/>
          <w14:ligatures w14:val="none"/>
        </w:rPr>
        <w:t>注：本表反映单位本年度一般公共预算财政拨款“三公”经费支出预决算情况。其中，预算数为一般公共预算财政拨款“三公”经费全年预算数，反映按规定程序调整后的预算数;决算数是包括当年财政拨款和以前年度结转资金安排的实际支出。</w:t>
      </w:r>
    </w:p>
    <w:p w14:paraId="212D0C1E">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二</w:t>
      </w:r>
      <w:r>
        <w:rPr>
          <w:rFonts w:ascii="黑体" w:hAnsi="黑体" w:eastAsia="黑体" w:cs="Times New Roman"/>
          <w:sz w:val="32"/>
          <w:szCs w:val="32"/>
          <w14:ligatures w14:val="none"/>
        </w:rPr>
        <w:t>、</w:t>
      </w:r>
      <w:r>
        <w:rPr>
          <w:rFonts w:hint="eastAsia" w:ascii="黑体" w:hAnsi="黑体" w:eastAsia="黑体" w:cs="Times New Roman"/>
          <w:sz w:val="32"/>
          <w:szCs w:val="32"/>
          <w14:ligatures w14:val="none"/>
        </w:rPr>
        <w:t>2023</w:t>
      </w:r>
      <w:r>
        <w:rPr>
          <w:rFonts w:ascii="黑体" w:hAnsi="黑体" w:eastAsia="黑体" w:cs="Times New Roman"/>
          <w:sz w:val="32"/>
          <w:szCs w:val="32"/>
          <w14:ligatures w14:val="none"/>
        </w:rPr>
        <w:t>年</w:t>
      </w:r>
      <w:r>
        <w:rPr>
          <w:rFonts w:hint="eastAsia" w:ascii="黑体" w:hAnsi="黑体" w:eastAsia="黑体" w:cs="Times New Roman"/>
          <w:sz w:val="32"/>
          <w:szCs w:val="32"/>
          <w14:ligatures w14:val="none"/>
        </w:rPr>
        <w:t>度一般公共预算财政拨款“三公”经费支出</w:t>
      </w:r>
      <w:r>
        <w:rPr>
          <w:rFonts w:ascii="黑体" w:hAnsi="黑体" w:eastAsia="黑体" w:cs="Times New Roman"/>
          <w:sz w:val="32"/>
          <w:szCs w:val="32"/>
          <w14:ligatures w14:val="none"/>
        </w:rPr>
        <w:t>情况说明</w:t>
      </w:r>
    </w:p>
    <w:p w14:paraId="5836A706">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仿宋_GB2312" w:hAnsi="仿宋" w:eastAsia="仿宋_GB2312" w:cs="Times New Roman"/>
          <w:b/>
          <w:sz w:val="32"/>
          <w:szCs w:val="32"/>
          <w14:ligatures w14:val="none"/>
        </w:rPr>
      </w:pPr>
      <w:r>
        <w:rPr>
          <w:rFonts w:hint="eastAsia" w:ascii="仿宋_GB2312" w:hAnsi="仿宋" w:eastAsia="仿宋_GB2312" w:cs="Times New Roman"/>
          <w:b/>
          <w:sz w:val="32"/>
          <w:szCs w:val="32"/>
          <w14:ligatures w14:val="none"/>
        </w:rPr>
        <w:t>（一）一般公共预算财政拨款“三公”经费支出决算总体情况说明。</w:t>
      </w:r>
    </w:p>
    <w:p w14:paraId="43B28000">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Times New Roman" w:hAnsi="Times New Roman" w:eastAsia="仿宋_GB2312" w:cs="仿宋_GB2312"/>
          <w:sz w:val="32"/>
          <w:szCs w:val="32"/>
          <w14:ligatures w14:val="none"/>
        </w:rPr>
      </w:pPr>
      <w:r>
        <w:rPr>
          <w:rFonts w:hint="eastAsia" w:ascii="Times New Roman" w:hAnsi="Times New Roman" w:eastAsia="仿宋_GB2312" w:cs="仿宋_GB2312"/>
          <w:sz w:val="32"/>
          <w:szCs w:val="32"/>
          <w:lang w:val="en-US" w:eastAsia="zh-CN"/>
          <w14:ligatures w14:val="none"/>
        </w:rPr>
        <w:t>淮北市林业局</w:t>
      </w:r>
      <w:r>
        <w:rPr>
          <w:rFonts w:hint="eastAsia" w:ascii="Times New Roman" w:hAnsi="Times New Roman" w:eastAsia="仿宋_GB2312" w:cs="仿宋_GB2312"/>
          <w:sz w:val="32"/>
          <w:szCs w:val="32"/>
          <w14:ligatures w14:val="none"/>
        </w:rPr>
        <w:t>2023年度</w:t>
      </w:r>
      <w:r>
        <w:rPr>
          <w:rFonts w:hint="eastAsia" w:ascii="Times New Roman" w:hAnsi="Times New Roman" w:eastAsia="仿宋_GB2312" w:cs="仿宋_GB2312"/>
          <w:sz w:val="32"/>
          <w:szCs w:val="32"/>
          <w:lang w:val="en-US" w:eastAsia="zh-CN"/>
          <w14:ligatures w14:val="none"/>
        </w:rPr>
        <w:t>部门一般公共预算财政拨款</w:t>
      </w:r>
      <w:r>
        <w:rPr>
          <w:rFonts w:hint="eastAsia" w:ascii="Times New Roman" w:hAnsi="Times New Roman" w:eastAsia="仿宋_GB2312" w:cs="仿宋_GB2312"/>
          <w:sz w:val="32"/>
          <w:szCs w:val="32"/>
          <w14:ligatures w14:val="none"/>
        </w:rPr>
        <w:t>“三公”经费支出预算为</w:t>
      </w:r>
      <w:r>
        <w:rPr>
          <w:rFonts w:hint="eastAsia" w:ascii="Times New Roman" w:hAnsi="Times New Roman" w:eastAsia="仿宋_GB2312" w:cs="仿宋_GB2312"/>
          <w:sz w:val="32"/>
          <w:szCs w:val="32"/>
          <w:lang w:val="en-US" w:eastAsia="zh-CN"/>
          <w14:ligatures w14:val="none"/>
        </w:rPr>
        <w:t>3</w:t>
      </w:r>
      <w:r>
        <w:rPr>
          <w:rFonts w:hint="eastAsia" w:ascii="Times New Roman" w:hAnsi="Times New Roman" w:eastAsia="仿宋_GB2312" w:cs="仿宋_GB2312"/>
          <w:sz w:val="32"/>
          <w:szCs w:val="32"/>
          <w14:ligatures w14:val="none"/>
        </w:rPr>
        <w:t>万元，支出决算为</w:t>
      </w:r>
      <w:r>
        <w:rPr>
          <w:rFonts w:hint="eastAsia" w:ascii="Times New Roman" w:hAnsi="Times New Roman" w:eastAsia="仿宋_GB2312" w:cs="仿宋_GB2312"/>
          <w:sz w:val="32"/>
          <w:szCs w:val="32"/>
          <w:lang w:val="en-US" w:eastAsia="zh-CN"/>
          <w14:ligatures w14:val="none"/>
        </w:rPr>
        <w:t>2.98</w:t>
      </w:r>
      <w:r>
        <w:rPr>
          <w:rFonts w:hint="eastAsia" w:ascii="Times New Roman" w:hAnsi="Times New Roman" w:eastAsia="仿宋_GB2312" w:cs="仿宋_GB2312"/>
          <w:sz w:val="32"/>
          <w:szCs w:val="32"/>
          <w14:ligatures w14:val="none"/>
        </w:rPr>
        <w:t>万元，完成预算的</w:t>
      </w:r>
      <w:r>
        <w:rPr>
          <w:rFonts w:hint="eastAsia" w:ascii="Times New Roman" w:hAnsi="Times New Roman" w:eastAsia="仿宋_GB2312" w:cs="仿宋_GB2312"/>
          <w:sz w:val="32"/>
          <w:szCs w:val="32"/>
          <w:lang w:val="en-US" w:eastAsia="zh-CN"/>
          <w14:ligatures w14:val="none"/>
        </w:rPr>
        <w:t>99.33</w:t>
      </w:r>
      <w:r>
        <w:rPr>
          <w:rFonts w:hint="eastAsia" w:ascii="Times New Roman" w:hAnsi="Times New Roman" w:eastAsia="仿宋_GB2312" w:cs="仿宋_GB2312"/>
          <w:sz w:val="32"/>
          <w:szCs w:val="32"/>
          <w14:ligatures w14:val="none"/>
        </w:rPr>
        <w:t>%，较上年</w:t>
      </w:r>
      <w:r>
        <w:rPr>
          <w:rFonts w:hint="eastAsia" w:ascii="Times New Roman" w:hAnsi="Times New Roman" w:eastAsia="仿宋_GB2312" w:cs="仿宋_GB2312"/>
          <w:sz w:val="32"/>
          <w:szCs w:val="32"/>
          <w:lang w:val="en-US" w:eastAsia="zh-CN"/>
          <w14:ligatures w14:val="none"/>
        </w:rPr>
        <w:t>减少1.47</w:t>
      </w:r>
      <w:r>
        <w:rPr>
          <w:rFonts w:hint="eastAsia" w:ascii="Times New Roman" w:hAnsi="Times New Roman" w:eastAsia="仿宋_GB2312" w:cs="仿宋_GB2312"/>
          <w:sz w:val="32"/>
          <w:szCs w:val="32"/>
          <w14:ligatures w14:val="none"/>
        </w:rPr>
        <w:t>万元，</w:t>
      </w:r>
      <w:r>
        <w:rPr>
          <w:rFonts w:hint="eastAsia" w:ascii="Times New Roman" w:hAnsi="Times New Roman" w:eastAsia="仿宋_GB2312" w:cs="仿宋_GB2312"/>
          <w:sz w:val="32"/>
          <w:szCs w:val="32"/>
          <w:lang w:val="en-US" w:eastAsia="zh-CN"/>
          <w14:ligatures w14:val="none"/>
        </w:rPr>
        <w:t>下降32.96</w:t>
      </w:r>
      <w:r>
        <w:rPr>
          <w:rFonts w:hint="eastAsia" w:ascii="Times New Roman" w:hAnsi="Times New Roman" w:eastAsia="仿宋_GB2312" w:cs="仿宋_GB2312"/>
          <w:sz w:val="32"/>
          <w:szCs w:val="32"/>
          <w14:ligatures w14:val="none"/>
        </w:rPr>
        <w:t>%。决算数小于预算数的主要原因是厉行节约，</w:t>
      </w:r>
      <w:r>
        <w:rPr>
          <w:rFonts w:hint="eastAsia" w:ascii="Times New Roman" w:hAnsi="Times New Roman" w:eastAsia="仿宋_GB2312" w:cs="仿宋_GB2312"/>
          <w:sz w:val="32"/>
          <w:szCs w:val="32"/>
          <w:lang w:val="en-US" w:eastAsia="zh-CN"/>
          <w14:ligatures w14:val="none"/>
        </w:rPr>
        <w:t>部门</w:t>
      </w:r>
      <w:r>
        <w:rPr>
          <w:rFonts w:hint="eastAsia" w:ascii="Times New Roman" w:hAnsi="Times New Roman" w:eastAsia="仿宋_GB2312" w:cs="仿宋_GB2312"/>
          <w:sz w:val="32"/>
          <w:szCs w:val="32"/>
          <w14:ligatures w14:val="none"/>
        </w:rPr>
        <w:t>压减支出。决算数较上年</w:t>
      </w:r>
      <w:r>
        <w:rPr>
          <w:rFonts w:hint="eastAsia" w:ascii="Times New Roman" w:hAnsi="Times New Roman" w:eastAsia="仿宋_GB2312" w:cs="仿宋_GB2312"/>
          <w:sz w:val="32"/>
          <w:szCs w:val="32"/>
          <w:lang w:val="en-US" w:eastAsia="zh-CN"/>
          <w14:ligatures w14:val="none"/>
        </w:rPr>
        <w:t>减少</w:t>
      </w:r>
      <w:r>
        <w:rPr>
          <w:rFonts w:hint="eastAsia" w:ascii="Times New Roman" w:hAnsi="Times New Roman" w:eastAsia="仿宋_GB2312" w:cs="仿宋_GB2312"/>
          <w:sz w:val="32"/>
          <w:szCs w:val="32"/>
          <w14:ligatures w14:val="none"/>
        </w:rPr>
        <w:t>的主要原因是厉行节约，</w:t>
      </w:r>
      <w:r>
        <w:rPr>
          <w:rFonts w:hint="eastAsia" w:ascii="Times New Roman" w:hAnsi="Times New Roman" w:eastAsia="仿宋_GB2312" w:cs="仿宋_GB2312"/>
          <w:sz w:val="32"/>
          <w:szCs w:val="32"/>
          <w:lang w:val="en-US" w:eastAsia="zh-CN"/>
          <w14:ligatures w14:val="none"/>
        </w:rPr>
        <w:t>部门</w:t>
      </w:r>
      <w:r>
        <w:rPr>
          <w:rFonts w:hint="eastAsia" w:ascii="Times New Roman" w:hAnsi="Times New Roman" w:eastAsia="仿宋_GB2312" w:cs="仿宋_GB2312"/>
          <w:sz w:val="32"/>
          <w:szCs w:val="32"/>
          <w14:ligatures w14:val="none"/>
        </w:rPr>
        <w:t>压减一般公共预算财政拨款</w:t>
      </w:r>
      <w:r>
        <w:rPr>
          <w:rFonts w:hint="eastAsia" w:ascii="Times New Roman" w:hAnsi="Times New Roman" w:eastAsia="仿宋_GB2312" w:cs="仿宋_GB2312"/>
          <w:sz w:val="32"/>
          <w:szCs w:val="32"/>
          <w:lang w:eastAsia="zh-CN"/>
          <w14:ligatures w14:val="none"/>
        </w:rPr>
        <w:t>“</w:t>
      </w:r>
      <w:r>
        <w:rPr>
          <w:rFonts w:hint="eastAsia" w:ascii="Times New Roman" w:hAnsi="Times New Roman" w:eastAsia="仿宋_GB2312" w:cs="仿宋_GB2312"/>
          <w:sz w:val="32"/>
          <w:szCs w:val="32"/>
          <w:lang w:val="en-US" w:eastAsia="zh-CN"/>
          <w14:ligatures w14:val="none"/>
        </w:rPr>
        <w:t>三公</w:t>
      </w:r>
      <w:r>
        <w:rPr>
          <w:rFonts w:hint="eastAsia" w:ascii="Times New Roman" w:hAnsi="Times New Roman" w:eastAsia="仿宋_GB2312" w:cs="仿宋_GB2312"/>
          <w:sz w:val="32"/>
          <w:szCs w:val="32"/>
          <w:lang w:eastAsia="zh-CN"/>
          <w14:ligatures w14:val="none"/>
        </w:rPr>
        <w:t>”</w:t>
      </w:r>
      <w:r>
        <w:rPr>
          <w:rFonts w:hint="eastAsia" w:ascii="Times New Roman" w:hAnsi="Times New Roman" w:eastAsia="仿宋_GB2312" w:cs="仿宋_GB2312"/>
          <w:sz w:val="32"/>
          <w:szCs w:val="32"/>
          <w:lang w:val="en-US" w:eastAsia="zh-CN"/>
          <w14:ligatures w14:val="none"/>
        </w:rPr>
        <w:t>经费</w:t>
      </w:r>
      <w:r>
        <w:rPr>
          <w:rFonts w:hint="eastAsia" w:ascii="Times New Roman" w:hAnsi="Times New Roman" w:eastAsia="仿宋_GB2312" w:cs="仿宋_GB2312"/>
          <w:sz w:val="32"/>
          <w:szCs w:val="32"/>
          <w14:ligatures w14:val="none"/>
        </w:rPr>
        <w:t>支出。</w:t>
      </w:r>
    </w:p>
    <w:p w14:paraId="31E54C47">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仿宋_GB2312" w:hAnsi="仿宋" w:eastAsia="仿宋_GB2312" w:cs="Times New Roman"/>
          <w:b/>
          <w:sz w:val="32"/>
          <w:szCs w:val="32"/>
          <w14:ligatures w14:val="none"/>
        </w:rPr>
      </w:pPr>
      <w:r>
        <w:rPr>
          <w:rFonts w:hint="eastAsia" w:ascii="仿宋_GB2312" w:hAnsi="仿宋" w:eastAsia="仿宋_GB2312" w:cs="Times New Roman"/>
          <w:b/>
          <w:bCs/>
          <w:sz w:val="32"/>
          <w:szCs w:val="32"/>
          <w14:ligatures w14:val="none"/>
        </w:rPr>
        <w:t>（二）</w:t>
      </w:r>
      <w:r>
        <w:rPr>
          <w:rFonts w:hint="eastAsia" w:ascii="仿宋_GB2312" w:hAnsi="仿宋" w:eastAsia="仿宋_GB2312" w:cs="Times New Roman"/>
          <w:b/>
          <w:sz w:val="32"/>
          <w:szCs w:val="32"/>
          <w14:ligatures w14:val="none"/>
        </w:rPr>
        <w:t>一般公共预算财政拨款“三公”经费支出决算具体情况说明。</w:t>
      </w:r>
    </w:p>
    <w:p w14:paraId="44AC162F">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Times New Roman" w:hAnsi="Times New Roman" w:eastAsia="仿宋_GB2312" w:cs="仿宋_GB2312"/>
          <w:sz w:val="32"/>
          <w:szCs w:val="32"/>
          <w14:ligatures w14:val="none"/>
        </w:rPr>
      </w:pPr>
      <w:r>
        <w:rPr>
          <w:rFonts w:hint="eastAsia" w:ascii="Times New Roman" w:hAnsi="Times New Roman" w:eastAsia="仿宋_GB2312" w:cs="仿宋_GB2312"/>
          <w:sz w:val="32"/>
          <w:szCs w:val="32"/>
          <w:lang w:val="en-US" w:eastAsia="zh-CN"/>
          <w14:ligatures w14:val="none"/>
        </w:rPr>
        <w:t>淮北市林业局</w:t>
      </w:r>
      <w:r>
        <w:rPr>
          <w:rFonts w:hint="eastAsia" w:ascii="Times New Roman" w:hAnsi="Times New Roman" w:eastAsia="仿宋_GB2312" w:cs="仿宋_GB2312"/>
          <w:sz w:val="32"/>
          <w:szCs w:val="32"/>
          <w14:ligatures w14:val="none"/>
        </w:rPr>
        <w:t>2023年度</w:t>
      </w:r>
      <w:r>
        <w:rPr>
          <w:rFonts w:hint="eastAsia" w:ascii="Times New Roman" w:hAnsi="Times New Roman" w:eastAsia="仿宋_GB2312" w:cs="仿宋_GB2312"/>
          <w:sz w:val="32"/>
          <w:szCs w:val="32"/>
          <w:lang w:val="en-US" w:eastAsia="zh-CN"/>
          <w14:ligatures w14:val="none"/>
        </w:rPr>
        <w:t>部门</w:t>
      </w:r>
      <w:r>
        <w:rPr>
          <w:rFonts w:hint="eastAsia" w:ascii="Times New Roman" w:hAnsi="Times New Roman" w:eastAsia="仿宋_GB2312" w:cs="仿宋_GB2312"/>
          <w:sz w:val="32"/>
          <w:szCs w:val="32"/>
          <w14:ligatures w14:val="none"/>
        </w:rPr>
        <w:t>一般公共预算财政拨款“三公”经费支出决算中，因公出国（境）费支出决算0万元，占0%</w:t>
      </w:r>
      <w:r>
        <w:rPr>
          <w:rFonts w:hint="eastAsia" w:ascii="Times New Roman" w:hAnsi="Times New Roman" w:eastAsia="仿宋_GB2312" w:cs="仿宋_GB2312"/>
          <w:sz w:val="32"/>
          <w:szCs w:val="32"/>
          <w:lang w:eastAsia="zh-CN"/>
          <w14:ligatures w14:val="none"/>
        </w:rPr>
        <w:t>；</w:t>
      </w:r>
      <w:r>
        <w:rPr>
          <w:rFonts w:hint="eastAsia" w:ascii="Times New Roman" w:hAnsi="Times New Roman" w:eastAsia="仿宋_GB2312" w:cs="仿宋_GB2312"/>
          <w:sz w:val="32"/>
          <w:szCs w:val="32"/>
          <w14:ligatures w14:val="none"/>
        </w:rPr>
        <w:t>公务接待费支出决算</w:t>
      </w:r>
      <w:r>
        <w:rPr>
          <w:rFonts w:hint="eastAsia" w:ascii="Times New Roman" w:hAnsi="Times New Roman" w:eastAsia="仿宋_GB2312" w:cs="仿宋_GB2312"/>
          <w:sz w:val="32"/>
          <w:szCs w:val="32"/>
          <w:lang w:val="en-US" w:eastAsia="zh-CN"/>
          <w14:ligatures w14:val="none"/>
        </w:rPr>
        <w:t>2.98</w:t>
      </w:r>
      <w:r>
        <w:rPr>
          <w:rFonts w:hint="eastAsia" w:ascii="Times New Roman" w:hAnsi="Times New Roman" w:eastAsia="仿宋_GB2312" w:cs="仿宋_GB2312"/>
          <w:sz w:val="32"/>
          <w:szCs w:val="32"/>
          <w14:ligatures w14:val="none"/>
        </w:rPr>
        <w:t>万元，占</w:t>
      </w:r>
      <w:r>
        <w:rPr>
          <w:rFonts w:hint="eastAsia" w:ascii="Times New Roman" w:hAnsi="Times New Roman" w:eastAsia="仿宋_GB2312" w:cs="仿宋_GB2312"/>
          <w:sz w:val="32"/>
          <w:szCs w:val="32"/>
          <w:lang w:val="en-US" w:eastAsia="zh-CN"/>
          <w14:ligatures w14:val="none"/>
        </w:rPr>
        <w:t>100</w:t>
      </w:r>
      <w:r>
        <w:rPr>
          <w:rFonts w:hint="eastAsia" w:ascii="Times New Roman" w:hAnsi="Times New Roman" w:eastAsia="仿宋_GB2312" w:cs="仿宋_GB2312"/>
          <w:sz w:val="32"/>
          <w:szCs w:val="32"/>
          <w14:ligatures w14:val="none"/>
        </w:rPr>
        <w:t>%；公务用车购置及运行维护费支出决算</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万元，占</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%。具体情况如下：</w:t>
      </w:r>
    </w:p>
    <w:p w14:paraId="18DBF37A">
      <w:pPr>
        <w:keepNext w:val="0"/>
        <w:keepLines w:val="0"/>
        <w:pageBreakBefore w:val="0"/>
        <w:kinsoku/>
        <w:wordWrap/>
        <w:overflowPunct/>
        <w:topLinePunct w:val="0"/>
        <w:autoSpaceDE/>
        <w:autoSpaceDN/>
        <w:bidi w:val="0"/>
        <w:adjustRightInd/>
        <w:snapToGrid/>
        <w:spacing w:line="240" w:lineRule="auto"/>
        <w:ind w:firstLine="628"/>
        <w:textAlignment w:val="auto"/>
        <w:rPr>
          <w:rFonts w:hint="eastAsia" w:ascii="Times New Roman" w:hAnsi="Times New Roman" w:eastAsia="仿宋_GB2312" w:cs="仿宋_GB2312"/>
          <w:sz w:val="32"/>
          <w:szCs w:val="32"/>
          <w14:ligatures w14:val="none"/>
        </w:rPr>
      </w:pPr>
      <w:r>
        <w:rPr>
          <w:rFonts w:hint="eastAsia" w:ascii="仿宋_GB2312" w:hAnsi="仿宋" w:eastAsia="仿宋_GB2312" w:cs="Times New Roman"/>
          <w:b/>
          <w:bCs/>
          <w:sz w:val="32"/>
          <w:szCs w:val="32"/>
          <w14:ligatures w14:val="none"/>
        </w:rPr>
        <w:t>1.因公出国（境）费</w:t>
      </w:r>
      <w:r>
        <w:rPr>
          <w:rFonts w:hint="eastAsia" w:ascii="Times New Roman" w:hAnsi="Times New Roman" w:eastAsia="仿宋_GB2312" w:cs="仿宋_GB2312"/>
          <w:sz w:val="32"/>
          <w:szCs w:val="32"/>
          <w14:ligatures w14:val="none"/>
        </w:rPr>
        <w:t>预算为0万元，支出决算为0万元，完成预算的100%</w:t>
      </w:r>
      <w:r>
        <w:rPr>
          <w:rFonts w:hint="eastAsia" w:ascii="Times New Roman" w:hAnsi="Times New Roman" w:eastAsia="仿宋_GB2312" w:cs="Times New Roman"/>
          <w:sz w:val="32"/>
          <w:lang w:val="en-US" w:eastAsia="zh-CN"/>
        </w:rPr>
        <w:t>，决算数与预算数相同</w:t>
      </w:r>
      <w:r>
        <w:rPr>
          <w:rFonts w:hint="eastAsia" w:ascii="Times New Roman" w:hAnsi="Times New Roman" w:eastAsia="仿宋_GB2312" w:cs="仿宋_GB2312"/>
          <w:sz w:val="32"/>
          <w:szCs w:val="32"/>
          <w14:ligatures w14:val="none"/>
        </w:rPr>
        <w:t>；较上年减少0万元，下降0%。原因是2022年度、2023年度均未安排因公出国（境）计划。故2023年淮北市</w:t>
      </w:r>
      <w:r>
        <w:rPr>
          <w:rFonts w:hint="eastAsia" w:ascii="Times New Roman" w:hAnsi="Times New Roman" w:eastAsia="仿宋_GB2312" w:cs="仿宋_GB2312"/>
          <w:sz w:val="32"/>
          <w:szCs w:val="32"/>
          <w:lang w:val="en-US" w:eastAsia="zh-CN"/>
          <w14:ligatures w14:val="none"/>
        </w:rPr>
        <w:t>林业局</w:t>
      </w:r>
      <w:r>
        <w:rPr>
          <w:rFonts w:hint="eastAsia" w:ascii="Times New Roman" w:hAnsi="Times New Roman" w:eastAsia="仿宋_GB2312" w:cs="仿宋_GB2312"/>
          <w:sz w:val="32"/>
          <w:szCs w:val="32"/>
          <w14:ligatures w14:val="none"/>
        </w:rPr>
        <w:t>局因公出国（境）团组0次，出国（境）0人次。</w:t>
      </w:r>
    </w:p>
    <w:p w14:paraId="49184019">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仿宋_GB2312" w:hAnsi="仿宋" w:eastAsia="仿宋_GB2312" w:cs="Times New Roman"/>
          <w:sz w:val="32"/>
          <w:szCs w:val="32"/>
          <w14:ligatures w14:val="none"/>
        </w:rPr>
      </w:pPr>
      <w:r>
        <w:rPr>
          <w:rFonts w:hint="eastAsia" w:ascii="仿宋_GB2312" w:hAnsi="仿宋" w:eastAsia="仿宋_GB2312" w:cs="Times New Roman"/>
          <w:b/>
          <w:bCs/>
          <w:sz w:val="32"/>
          <w:szCs w:val="32"/>
          <w14:ligatures w14:val="none"/>
        </w:rPr>
        <w:t>2.公务接待费</w:t>
      </w:r>
      <w:r>
        <w:rPr>
          <w:rFonts w:hint="eastAsia" w:ascii="Times New Roman" w:hAnsi="Times New Roman" w:eastAsia="仿宋_GB2312" w:cs="仿宋_GB2312"/>
          <w:sz w:val="32"/>
          <w:szCs w:val="32"/>
          <w14:ligatures w14:val="none"/>
        </w:rPr>
        <w:t>预算为</w:t>
      </w:r>
      <w:r>
        <w:rPr>
          <w:rFonts w:hint="eastAsia" w:ascii="Times New Roman" w:hAnsi="Times New Roman" w:eastAsia="仿宋_GB2312" w:cs="仿宋_GB2312"/>
          <w:sz w:val="32"/>
          <w:szCs w:val="32"/>
          <w:lang w:val="en-US" w:eastAsia="zh-CN"/>
          <w14:ligatures w14:val="none"/>
        </w:rPr>
        <w:t>3</w:t>
      </w:r>
      <w:r>
        <w:rPr>
          <w:rFonts w:hint="eastAsia" w:ascii="Times New Roman" w:hAnsi="Times New Roman" w:eastAsia="仿宋_GB2312" w:cs="仿宋_GB2312"/>
          <w:sz w:val="32"/>
          <w:szCs w:val="32"/>
          <w14:ligatures w14:val="none"/>
        </w:rPr>
        <w:t>万元，支出决算为</w:t>
      </w:r>
      <w:r>
        <w:rPr>
          <w:rFonts w:hint="eastAsia" w:ascii="Times New Roman" w:hAnsi="Times New Roman" w:eastAsia="仿宋_GB2312" w:cs="仿宋_GB2312"/>
          <w:sz w:val="32"/>
          <w:szCs w:val="32"/>
          <w:lang w:val="en-US" w:eastAsia="zh-CN"/>
          <w14:ligatures w14:val="none"/>
        </w:rPr>
        <w:t>2.98</w:t>
      </w:r>
      <w:r>
        <w:rPr>
          <w:rFonts w:hint="eastAsia" w:ascii="Times New Roman" w:hAnsi="Times New Roman" w:eastAsia="仿宋_GB2312" w:cs="仿宋_GB2312"/>
          <w:sz w:val="32"/>
          <w:szCs w:val="32"/>
          <w14:ligatures w14:val="none"/>
        </w:rPr>
        <w:t>万元，完成预算的</w:t>
      </w:r>
      <w:r>
        <w:rPr>
          <w:rFonts w:hint="eastAsia" w:ascii="Times New Roman" w:hAnsi="Times New Roman" w:eastAsia="仿宋_GB2312" w:cs="仿宋_GB2312"/>
          <w:sz w:val="32"/>
          <w:szCs w:val="32"/>
          <w:lang w:val="en-US" w:eastAsia="zh-CN"/>
          <w14:ligatures w14:val="none"/>
        </w:rPr>
        <w:t>99.33</w:t>
      </w:r>
      <w:r>
        <w:rPr>
          <w:rFonts w:hint="eastAsia" w:ascii="Times New Roman" w:hAnsi="Times New Roman" w:eastAsia="仿宋_GB2312" w:cs="仿宋_GB2312"/>
          <w:sz w:val="32"/>
          <w:szCs w:val="32"/>
          <w14:ligatures w14:val="none"/>
        </w:rPr>
        <w:t>%；较上年</w:t>
      </w:r>
      <w:r>
        <w:rPr>
          <w:rFonts w:hint="eastAsia" w:ascii="Times New Roman" w:hAnsi="Times New Roman" w:eastAsia="仿宋_GB2312" w:cs="仿宋_GB2312"/>
          <w:sz w:val="32"/>
          <w:szCs w:val="32"/>
          <w:lang w:val="en-US" w:eastAsia="zh-CN"/>
          <w14:ligatures w14:val="none"/>
        </w:rPr>
        <w:t>减少1.47</w:t>
      </w:r>
      <w:r>
        <w:rPr>
          <w:rFonts w:hint="eastAsia" w:ascii="Times New Roman" w:hAnsi="Times New Roman" w:eastAsia="仿宋_GB2312" w:cs="仿宋_GB2312"/>
          <w:sz w:val="32"/>
          <w:szCs w:val="32"/>
          <w14:ligatures w14:val="none"/>
        </w:rPr>
        <w:t>万元，</w:t>
      </w:r>
      <w:r>
        <w:rPr>
          <w:rFonts w:hint="eastAsia" w:ascii="Times New Roman" w:hAnsi="Times New Roman" w:eastAsia="仿宋_GB2312" w:cs="仿宋_GB2312"/>
          <w:sz w:val="32"/>
          <w:szCs w:val="32"/>
          <w:lang w:val="en-US" w:eastAsia="zh-CN"/>
          <w14:ligatures w14:val="none"/>
        </w:rPr>
        <w:t>下降32.96</w:t>
      </w:r>
      <w:r>
        <w:rPr>
          <w:rFonts w:hint="eastAsia" w:ascii="Times New Roman" w:hAnsi="Times New Roman" w:eastAsia="仿宋_GB2312" w:cs="仿宋_GB2312"/>
          <w:sz w:val="32"/>
          <w:szCs w:val="32"/>
          <w14:ligatures w14:val="none"/>
        </w:rPr>
        <w:t>%。决算数小于预算数的主要原因是厉行节约，单位大力压减支出。决算数较上年</w:t>
      </w:r>
      <w:r>
        <w:rPr>
          <w:rFonts w:hint="eastAsia" w:ascii="Times New Roman" w:hAnsi="Times New Roman" w:eastAsia="仿宋_GB2312" w:cs="仿宋_GB2312"/>
          <w:sz w:val="32"/>
          <w:szCs w:val="32"/>
          <w:lang w:val="en-US" w:eastAsia="zh-CN"/>
          <w14:ligatures w14:val="none"/>
        </w:rPr>
        <w:t>减少</w:t>
      </w:r>
      <w:r>
        <w:rPr>
          <w:rFonts w:hint="eastAsia" w:ascii="Times New Roman" w:hAnsi="Times New Roman" w:eastAsia="仿宋_GB2312" w:cs="仿宋_GB2312"/>
          <w:sz w:val="32"/>
          <w:szCs w:val="32"/>
          <w14:ligatures w14:val="none"/>
        </w:rPr>
        <w:t>的主要原因是本单位</w:t>
      </w:r>
      <w:r>
        <w:rPr>
          <w:rFonts w:hint="eastAsia" w:ascii="Times New Roman" w:hAnsi="Times New Roman" w:eastAsia="仿宋_GB2312" w:cs="仿宋_GB2312"/>
          <w:sz w:val="32"/>
          <w:szCs w:val="32"/>
          <w:lang w:val="en-US" w:eastAsia="zh-CN"/>
          <w14:ligatures w14:val="none"/>
        </w:rPr>
        <w:t>厉行节约，减少一般公共预算财政拨款“三公”经费支出</w:t>
      </w:r>
      <w:r>
        <w:rPr>
          <w:rFonts w:hint="eastAsia" w:ascii="Times New Roman" w:hAnsi="Times New Roman" w:eastAsia="仿宋_GB2312" w:cs="仿宋_GB2312"/>
          <w:sz w:val="32"/>
          <w:szCs w:val="32"/>
          <w14:ligatures w14:val="none"/>
        </w:rPr>
        <w:t>。</w:t>
      </w:r>
      <w:r>
        <w:rPr>
          <w:rFonts w:hint="eastAsia" w:ascii="Times New Roman" w:hAnsi="Times New Roman" w:eastAsia="仿宋_GB2312" w:cs="仿宋_GB2312"/>
          <w:sz w:val="32"/>
          <w:szCs w:val="32"/>
          <w:lang w:val="en-US" w:eastAsia="zh-CN"/>
          <w14:ligatures w14:val="none"/>
        </w:rPr>
        <w:t>淮北市林业局</w:t>
      </w:r>
      <w:r>
        <w:rPr>
          <w:rFonts w:hint="eastAsia" w:ascii="Times New Roman" w:hAnsi="Times New Roman" w:eastAsia="仿宋_GB2312" w:cs="仿宋_GB2312"/>
          <w:sz w:val="32"/>
          <w:szCs w:val="32"/>
          <w14:ligatures w14:val="none"/>
        </w:rPr>
        <w:t>2023年度</w:t>
      </w:r>
      <w:r>
        <w:rPr>
          <w:rFonts w:hint="eastAsia" w:ascii="Times New Roman" w:hAnsi="Times New Roman" w:eastAsia="仿宋_GB2312" w:cs="仿宋_GB2312"/>
          <w:sz w:val="32"/>
          <w:szCs w:val="32"/>
          <w:lang w:val="en-US" w:eastAsia="zh-CN"/>
          <w14:ligatures w14:val="none"/>
        </w:rPr>
        <w:t>部门</w:t>
      </w:r>
      <w:r>
        <w:rPr>
          <w:rFonts w:hint="eastAsia" w:ascii="Times New Roman" w:hAnsi="Times New Roman" w:eastAsia="仿宋_GB2312" w:cs="仿宋_GB2312"/>
          <w:sz w:val="32"/>
          <w:szCs w:val="32"/>
          <w14:ligatures w14:val="none"/>
        </w:rPr>
        <w:t>国内公务接待共</w:t>
      </w:r>
      <w:r>
        <w:rPr>
          <w:rFonts w:hint="eastAsia" w:ascii="Times New Roman" w:hAnsi="Times New Roman" w:eastAsia="仿宋_GB2312" w:cs="仿宋_GB2312"/>
          <w:sz w:val="32"/>
          <w:szCs w:val="32"/>
          <w:lang w:val="en-US" w:eastAsia="zh-CN"/>
          <w14:ligatures w14:val="none"/>
        </w:rPr>
        <w:t>20</w:t>
      </w:r>
      <w:r>
        <w:rPr>
          <w:rFonts w:hint="eastAsia" w:ascii="Times New Roman" w:hAnsi="Times New Roman" w:eastAsia="仿宋_GB2312" w:cs="仿宋_GB2312"/>
          <w:sz w:val="32"/>
          <w:szCs w:val="32"/>
          <w14:ligatures w14:val="none"/>
        </w:rPr>
        <w:t>批次（其中外事接待0批次），</w:t>
      </w:r>
      <w:r>
        <w:rPr>
          <w:rFonts w:hint="eastAsia" w:ascii="Times New Roman" w:hAnsi="Times New Roman" w:eastAsia="仿宋_GB2312" w:cs="仿宋_GB2312"/>
          <w:sz w:val="32"/>
          <w:szCs w:val="32"/>
          <w:lang w:val="en-US" w:eastAsia="zh-CN"/>
          <w14:ligatures w14:val="none"/>
        </w:rPr>
        <w:t>207</w:t>
      </w:r>
      <w:r>
        <w:rPr>
          <w:rFonts w:hint="eastAsia" w:ascii="Times New Roman" w:hAnsi="Times New Roman" w:eastAsia="仿宋_GB2312" w:cs="仿宋_GB2312"/>
          <w:sz w:val="32"/>
          <w:szCs w:val="32"/>
          <w14:ligatures w14:val="none"/>
        </w:rPr>
        <w:t>人次（其中外事接待0人次）。主要是用于其他地市单位来淮交流招待费用。经费使用贯彻中央八项规定精神和省委实施细则，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59EC9648">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Times New Roman" w:hAnsi="Times New Roman" w:eastAsia="仿宋_GB2312" w:cs="仿宋_GB2312"/>
          <w:sz w:val="32"/>
          <w:szCs w:val="32"/>
          <w14:ligatures w14:val="none"/>
        </w:rPr>
      </w:pPr>
      <w:r>
        <w:rPr>
          <w:rFonts w:hint="eastAsia" w:ascii="仿宋_GB2312" w:hAnsi="仿宋" w:eastAsia="仿宋_GB2312" w:cs="Times New Roman"/>
          <w:b/>
          <w:bCs/>
          <w:sz w:val="32"/>
          <w:szCs w:val="32"/>
          <w14:ligatures w14:val="none"/>
        </w:rPr>
        <w:t>3.</w:t>
      </w:r>
      <w:bookmarkStart w:id="0" w:name="_Hlk177201763"/>
      <w:r>
        <w:rPr>
          <w:rFonts w:hint="eastAsia" w:ascii="仿宋_GB2312" w:hAnsi="仿宋" w:eastAsia="仿宋_GB2312" w:cs="Times New Roman"/>
          <w:b/>
          <w:bCs/>
          <w:sz w:val="32"/>
          <w:szCs w:val="32"/>
          <w14:ligatures w14:val="none"/>
        </w:rPr>
        <w:t>公务用车购置及运行维护费</w:t>
      </w:r>
      <w:bookmarkEnd w:id="0"/>
      <w:r>
        <w:rPr>
          <w:rFonts w:hint="eastAsia" w:ascii="Times New Roman" w:hAnsi="Times New Roman" w:eastAsia="仿宋_GB2312" w:cs="仿宋_GB2312"/>
          <w:sz w:val="32"/>
          <w:szCs w:val="32"/>
          <w14:ligatures w14:val="none"/>
        </w:rPr>
        <w:t>预算为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万元，支出决算为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万元，完成预算的</w:t>
      </w:r>
      <w:r>
        <w:rPr>
          <w:rFonts w:hint="eastAsia" w:ascii="Times New Roman" w:hAnsi="Times New Roman" w:eastAsia="仿宋_GB2312" w:cs="仿宋_GB2312"/>
          <w:sz w:val="32"/>
          <w:szCs w:val="32"/>
          <w:lang w:val="en-US" w:eastAsia="zh-CN"/>
          <w14:ligatures w14:val="none"/>
        </w:rPr>
        <w:t>100</w:t>
      </w:r>
      <w:r>
        <w:rPr>
          <w:rFonts w:hint="eastAsia" w:ascii="Times New Roman" w:hAnsi="Times New Roman" w:eastAsia="仿宋_GB2312" w:cs="仿宋_GB2312"/>
          <w:sz w:val="32"/>
          <w:szCs w:val="32"/>
          <w14:ligatures w14:val="none"/>
        </w:rPr>
        <w:t>%；较上年减少0万元，下降0%</w:t>
      </w:r>
      <w:r>
        <w:rPr>
          <w:rFonts w:hint="eastAsia" w:ascii="Times New Roman" w:hAnsi="Times New Roman" w:eastAsia="仿宋_GB2312" w:cs="仿宋_GB2312"/>
          <w:sz w:val="32"/>
          <w:szCs w:val="32"/>
          <w:lang w:eastAsia="zh-CN"/>
          <w14:ligatures w14:val="none"/>
        </w:rPr>
        <w:t>。</w:t>
      </w:r>
      <w:r>
        <w:rPr>
          <w:rFonts w:hint="eastAsia" w:ascii="Times New Roman" w:hAnsi="Times New Roman" w:eastAsia="仿宋_GB2312" w:cs="仿宋_GB2312"/>
          <w:sz w:val="32"/>
          <w:szCs w:val="32"/>
          <w14:ligatures w14:val="none"/>
        </w:rPr>
        <w:t>决算数</w:t>
      </w:r>
      <w:r>
        <w:rPr>
          <w:rFonts w:hint="eastAsia" w:ascii="Times New Roman" w:hAnsi="Times New Roman" w:eastAsia="仿宋_GB2312" w:cs="仿宋_GB2312"/>
          <w:sz w:val="32"/>
          <w:szCs w:val="32"/>
          <w:lang w:val="en-US" w:eastAsia="zh-CN"/>
          <w14:ligatures w14:val="none"/>
        </w:rPr>
        <w:t>与</w:t>
      </w:r>
      <w:r>
        <w:rPr>
          <w:rFonts w:hint="eastAsia" w:ascii="Times New Roman" w:hAnsi="Times New Roman" w:eastAsia="仿宋_GB2312" w:cs="仿宋_GB2312"/>
          <w:sz w:val="32"/>
          <w:szCs w:val="32"/>
          <w14:ligatures w14:val="none"/>
        </w:rPr>
        <w:t>预算数</w:t>
      </w:r>
      <w:r>
        <w:rPr>
          <w:rFonts w:hint="eastAsia" w:ascii="Times New Roman" w:hAnsi="Times New Roman" w:eastAsia="仿宋_GB2312" w:cs="仿宋_GB2312"/>
          <w:sz w:val="32"/>
          <w:szCs w:val="32"/>
          <w:lang w:val="en-US" w:eastAsia="zh-CN"/>
          <w14:ligatures w14:val="none"/>
        </w:rPr>
        <w:t>相同。决算数较上年持平。</w:t>
      </w:r>
      <w:r>
        <w:rPr>
          <w:rFonts w:hint="eastAsia" w:ascii="Times New Roman" w:hAnsi="Times New Roman" w:eastAsia="仿宋_GB2312" w:cs="仿宋_GB2312"/>
          <w:sz w:val="32"/>
          <w:szCs w:val="32"/>
          <w14:ligatures w14:val="none"/>
        </w:rPr>
        <w:t>其中，公务用车购置费预算为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万元，支出决算</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万元，完成预算的</w:t>
      </w:r>
      <w:r>
        <w:rPr>
          <w:rFonts w:hint="eastAsia" w:ascii="Times New Roman" w:hAnsi="Times New Roman" w:eastAsia="仿宋_GB2312" w:cs="仿宋_GB2312"/>
          <w:sz w:val="32"/>
          <w:szCs w:val="32"/>
          <w:lang w:val="en-US" w:eastAsia="zh-CN"/>
          <w14:ligatures w14:val="none"/>
        </w:rPr>
        <w:t>100</w:t>
      </w:r>
      <w:r>
        <w:rPr>
          <w:rFonts w:hint="eastAsia" w:ascii="Times New Roman" w:hAnsi="Times New Roman" w:eastAsia="仿宋_GB2312" w:cs="仿宋_GB2312"/>
          <w:sz w:val="32"/>
          <w:szCs w:val="32"/>
          <w14:ligatures w14:val="none"/>
        </w:rPr>
        <w:t>%；较上年减少</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万元，下降</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w:t>
      </w:r>
      <w:r>
        <w:rPr>
          <w:rFonts w:hint="eastAsia" w:ascii="Times New Roman" w:hAnsi="Times New Roman" w:eastAsia="仿宋_GB2312" w:cs="仿宋_GB2312"/>
          <w:sz w:val="32"/>
          <w:szCs w:val="32"/>
          <w:lang w:eastAsia="zh-CN"/>
          <w14:ligatures w14:val="none"/>
        </w:rPr>
        <w:t>。</w:t>
      </w:r>
      <w:r>
        <w:rPr>
          <w:rFonts w:hint="eastAsia" w:ascii="Times New Roman" w:hAnsi="Times New Roman" w:eastAsia="仿宋_GB2312" w:cs="仿宋_GB2312"/>
          <w:sz w:val="32"/>
          <w:szCs w:val="32"/>
          <w:lang w:val="en-US" w:eastAsia="zh-CN"/>
          <w14:ligatures w14:val="none"/>
        </w:rPr>
        <w:t>决</w:t>
      </w:r>
      <w:r>
        <w:rPr>
          <w:rFonts w:hint="eastAsia" w:ascii="Times New Roman" w:hAnsi="Times New Roman" w:eastAsia="仿宋_GB2312" w:cs="仿宋_GB2312"/>
          <w:sz w:val="32"/>
          <w:szCs w:val="32"/>
          <w14:ligatures w14:val="none"/>
        </w:rPr>
        <w:t>算数</w:t>
      </w:r>
      <w:r>
        <w:rPr>
          <w:rFonts w:hint="eastAsia" w:ascii="Times New Roman" w:hAnsi="Times New Roman" w:eastAsia="仿宋_GB2312" w:cs="仿宋_GB2312"/>
          <w:sz w:val="32"/>
          <w:szCs w:val="32"/>
          <w:lang w:val="en-US" w:eastAsia="zh-CN"/>
          <w14:ligatures w14:val="none"/>
        </w:rPr>
        <w:t>与</w:t>
      </w:r>
      <w:r>
        <w:rPr>
          <w:rFonts w:hint="eastAsia" w:ascii="Times New Roman" w:hAnsi="Times New Roman" w:eastAsia="仿宋_GB2312" w:cs="仿宋_GB2312"/>
          <w:sz w:val="32"/>
          <w:szCs w:val="32"/>
          <w14:ligatures w14:val="none"/>
        </w:rPr>
        <w:t>预算数</w:t>
      </w:r>
      <w:r>
        <w:rPr>
          <w:rFonts w:hint="eastAsia" w:ascii="Times New Roman" w:hAnsi="Times New Roman" w:eastAsia="仿宋_GB2312" w:cs="仿宋_GB2312"/>
          <w:sz w:val="32"/>
          <w:szCs w:val="32"/>
          <w:lang w:val="en-US" w:eastAsia="zh-CN"/>
          <w14:ligatures w14:val="none"/>
        </w:rPr>
        <w:t>相同</w:t>
      </w:r>
      <w:r>
        <w:rPr>
          <w:rFonts w:hint="eastAsia" w:ascii="Times New Roman" w:hAnsi="Times New Roman" w:eastAsia="仿宋_GB2312" w:cs="仿宋_GB2312"/>
          <w:sz w:val="32"/>
          <w:szCs w:val="32"/>
          <w14:ligatures w14:val="none"/>
        </w:rPr>
        <w:t>。</w:t>
      </w:r>
      <w:r>
        <w:rPr>
          <w:rFonts w:hint="eastAsia" w:ascii="Times New Roman" w:hAnsi="Times New Roman" w:eastAsia="仿宋_GB2312" w:cs="仿宋_GB2312"/>
          <w:sz w:val="32"/>
          <w:szCs w:val="32"/>
          <w:lang w:val="en-US" w:eastAsia="zh-CN"/>
          <w14:ligatures w14:val="none"/>
        </w:rPr>
        <w:t>决算数较上年持平</w:t>
      </w:r>
      <w:r>
        <w:rPr>
          <w:rFonts w:hint="eastAsia" w:ascii="Times New Roman" w:hAnsi="Times New Roman" w:eastAsia="仿宋_GB2312" w:cs="仿宋_GB2312"/>
          <w:sz w:val="32"/>
          <w:szCs w:val="32"/>
          <w14:ligatures w14:val="none"/>
        </w:rPr>
        <w:t>。2023年购置公务用车</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辆。公务用车运行维护费预算为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万元，支出决算为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万元，完成预算的</w:t>
      </w:r>
      <w:r>
        <w:rPr>
          <w:rFonts w:hint="eastAsia" w:ascii="Times New Roman" w:hAnsi="Times New Roman" w:eastAsia="仿宋_GB2312" w:cs="仿宋_GB2312"/>
          <w:sz w:val="32"/>
          <w:szCs w:val="32"/>
          <w:lang w:val="en-US" w:eastAsia="zh-CN"/>
          <w14:ligatures w14:val="none"/>
        </w:rPr>
        <w:t>100</w:t>
      </w:r>
      <w:r>
        <w:rPr>
          <w:rFonts w:hint="eastAsia" w:ascii="Times New Roman" w:hAnsi="Times New Roman" w:eastAsia="仿宋_GB2312" w:cs="仿宋_GB2312"/>
          <w:sz w:val="32"/>
          <w:szCs w:val="32"/>
          <w14:ligatures w14:val="none"/>
        </w:rPr>
        <w:t>%；较上年减少</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万元，下降</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w:t>
      </w:r>
      <w:r>
        <w:rPr>
          <w:rFonts w:hint="eastAsia" w:ascii="Times New Roman" w:hAnsi="Times New Roman" w:eastAsia="仿宋_GB2312" w:cs="仿宋_GB2312"/>
          <w:sz w:val="32"/>
          <w:szCs w:val="32"/>
          <w:lang w:val="en-US" w:eastAsia="zh-CN"/>
          <w14:ligatures w14:val="none"/>
        </w:rPr>
        <w:t>决</w:t>
      </w:r>
      <w:r>
        <w:rPr>
          <w:rFonts w:hint="eastAsia" w:ascii="Times New Roman" w:hAnsi="Times New Roman" w:eastAsia="仿宋_GB2312" w:cs="仿宋_GB2312"/>
          <w:sz w:val="32"/>
          <w:szCs w:val="32"/>
          <w14:ligatures w14:val="none"/>
        </w:rPr>
        <w:t>算数</w:t>
      </w:r>
      <w:r>
        <w:rPr>
          <w:rFonts w:hint="eastAsia" w:ascii="Times New Roman" w:hAnsi="Times New Roman" w:eastAsia="仿宋_GB2312" w:cs="仿宋_GB2312"/>
          <w:sz w:val="32"/>
          <w:szCs w:val="32"/>
          <w:lang w:val="en-US" w:eastAsia="zh-CN"/>
          <w14:ligatures w14:val="none"/>
        </w:rPr>
        <w:t>与</w:t>
      </w:r>
      <w:r>
        <w:rPr>
          <w:rFonts w:hint="eastAsia" w:ascii="Times New Roman" w:hAnsi="Times New Roman" w:eastAsia="仿宋_GB2312" w:cs="仿宋_GB2312"/>
          <w:sz w:val="32"/>
          <w:szCs w:val="32"/>
          <w14:ligatures w14:val="none"/>
        </w:rPr>
        <w:t>预算数</w:t>
      </w:r>
      <w:r>
        <w:rPr>
          <w:rFonts w:hint="eastAsia" w:ascii="Times New Roman" w:hAnsi="Times New Roman" w:eastAsia="仿宋_GB2312" w:cs="仿宋_GB2312"/>
          <w:sz w:val="32"/>
          <w:szCs w:val="32"/>
          <w:lang w:val="en-US" w:eastAsia="zh-CN"/>
          <w14:ligatures w14:val="none"/>
        </w:rPr>
        <w:t>相同</w:t>
      </w:r>
      <w:r>
        <w:rPr>
          <w:rFonts w:hint="eastAsia" w:ascii="Times New Roman" w:hAnsi="Times New Roman" w:eastAsia="仿宋_GB2312" w:cs="仿宋_GB2312"/>
          <w:sz w:val="32"/>
          <w:szCs w:val="32"/>
          <w14:ligatures w14:val="none"/>
        </w:rPr>
        <w:t>。</w:t>
      </w:r>
      <w:r>
        <w:rPr>
          <w:rFonts w:hint="eastAsia" w:ascii="Times New Roman" w:hAnsi="Times New Roman" w:eastAsia="仿宋_GB2312" w:cs="仿宋_GB2312"/>
          <w:sz w:val="32"/>
          <w:szCs w:val="32"/>
          <w:lang w:val="en-US" w:eastAsia="zh-CN"/>
          <w14:ligatures w14:val="none"/>
        </w:rPr>
        <w:t>决算数较上年持平。</w:t>
      </w:r>
      <w:r>
        <w:rPr>
          <w:rFonts w:hint="eastAsia" w:ascii="Times New Roman" w:hAnsi="Times New Roman" w:eastAsia="仿宋_GB2312" w:cs="仿宋_GB2312"/>
          <w:sz w:val="32"/>
          <w:szCs w:val="32"/>
          <w14:ligatures w14:val="none"/>
        </w:rPr>
        <w:t>截至2023年12月31日，淮北市</w:t>
      </w:r>
      <w:r>
        <w:rPr>
          <w:rFonts w:hint="eastAsia" w:ascii="Times New Roman" w:hAnsi="Times New Roman" w:eastAsia="仿宋_GB2312" w:cs="仿宋_GB2312"/>
          <w:sz w:val="32"/>
          <w:szCs w:val="32"/>
          <w:lang w:val="en-US" w:eastAsia="zh-CN"/>
          <w14:ligatures w14:val="none"/>
        </w:rPr>
        <w:t>林业局</w:t>
      </w:r>
      <w:r>
        <w:rPr>
          <w:rFonts w:hint="eastAsia" w:ascii="Times New Roman" w:hAnsi="Times New Roman" w:eastAsia="仿宋_GB2312" w:cs="仿宋_GB2312"/>
          <w:sz w:val="32"/>
          <w:szCs w:val="32"/>
          <w14:ligatures w14:val="none"/>
        </w:rPr>
        <w:t>开支财政拨款的公务用车保有量为</w:t>
      </w:r>
      <w:r>
        <w:rPr>
          <w:rFonts w:hint="eastAsia" w:ascii="Times New Roman" w:hAnsi="Times New Roman" w:eastAsia="仿宋_GB2312" w:cs="仿宋_GB2312"/>
          <w:sz w:val="32"/>
          <w:szCs w:val="32"/>
          <w:lang w:val="en-US" w:eastAsia="zh-CN"/>
          <w14:ligatures w14:val="none"/>
        </w:rPr>
        <w:t>0</w:t>
      </w:r>
      <w:r>
        <w:rPr>
          <w:rFonts w:hint="eastAsia" w:ascii="Times New Roman" w:hAnsi="Times New Roman" w:eastAsia="仿宋_GB2312" w:cs="仿宋_GB2312"/>
          <w:sz w:val="32"/>
          <w:szCs w:val="32"/>
          <w14:ligatures w14:val="none"/>
        </w:rPr>
        <w:t>辆。</w:t>
      </w:r>
      <w:bookmarkStart w:id="1" w:name="_GoBack"/>
      <w:bookmarkEnd w:id="1"/>
    </w:p>
    <w:p w14:paraId="09F08CD2">
      <w:pPr>
        <w:keepNext w:val="0"/>
        <w:keepLines w:val="0"/>
        <w:pageBreakBefore w:val="0"/>
        <w:kinsoku/>
        <w:wordWrap/>
        <w:overflowPunct/>
        <w:topLinePunct w:val="0"/>
        <w:autoSpaceDE/>
        <w:autoSpaceDN/>
        <w:bidi w:val="0"/>
        <w:adjustRightInd/>
        <w:snapToGrid/>
        <w:spacing w:line="240" w:lineRule="auto"/>
        <w:textAlignment w:val="auto"/>
      </w:pPr>
    </w:p>
    <w:sectPr>
      <w:headerReference r:id="rId3" w:type="default"/>
      <w:footerReference r:id="rId4" w:type="default"/>
      <w:footerReference r:id="rId5" w:type="even"/>
      <w:pgSz w:w="11906" w:h="16838"/>
      <w:pgMar w:top="2155" w:right="1474" w:bottom="1984"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565F">
    <w:pPr>
      <w:pStyle w:val="2"/>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16</w:t>
    </w:r>
    <w:r>
      <w:rPr>
        <w:rFonts w:hint="eastAsia" w:ascii="仿宋_GB2312"/>
        <w:sz w:val="28"/>
        <w:szCs w:val="28"/>
      </w:rPr>
      <w:fldChar w:fldCharType="end"/>
    </w:r>
    <w:r>
      <w:rPr>
        <w:rStyle w:val="6"/>
        <w:rFonts w:hint="eastAsia" w:ascii="仿宋_GB2312"/>
        <w:sz w:val="28"/>
        <w:szCs w:val="28"/>
      </w:rPr>
      <w:t>-</w:t>
    </w:r>
  </w:p>
  <w:p w14:paraId="603C6249">
    <w:pPr>
      <w:pStyle w:val="2"/>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A1F7">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lang w:val="en-US" w:eastAsia="zh-CN"/>
      </w:rPr>
      <w:t>1</w:t>
    </w:r>
    <w:r>
      <w:fldChar w:fldCharType="end"/>
    </w:r>
  </w:p>
  <w:p w14:paraId="5E26333B">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B6F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NjRiODY4NzQ1YjE2MWMwYTNmNzQ0NmRkNDliOGQifQ=="/>
  </w:docVars>
  <w:rsids>
    <w:rsidRoot w:val="00514674"/>
    <w:rsid w:val="00514674"/>
    <w:rsid w:val="00736A11"/>
    <w:rsid w:val="00B74AEB"/>
    <w:rsid w:val="00C23944"/>
    <w:rsid w:val="00CF1EEC"/>
    <w:rsid w:val="00D00431"/>
    <w:rsid w:val="0D8F08FD"/>
    <w:rsid w:val="13702838"/>
    <w:rsid w:val="47364549"/>
    <w:rsid w:val="4A1946C3"/>
    <w:rsid w:val="6014175D"/>
    <w:rsid w:val="65DC4C7F"/>
    <w:rsid w:val="6D5F5090"/>
    <w:rsid w:val="72D2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1418</Words>
  <Characters>1543</Characters>
  <Lines>12</Lines>
  <Paragraphs>3</Paragraphs>
  <TotalTime>0</TotalTime>
  <ScaleCrop>false</ScaleCrop>
  <LinksUpToDate>false</LinksUpToDate>
  <CharactersWithSpaces>1562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2024-09-25T03:02:00Z</dcterms:created>
  <dc:creator>565756694@qq.com</dc:creator>
  <cp:lastModifiedBy>追希执毅</cp:lastModifiedBy>
  <dcterms:modified xsi:type="dcterms:W3CDTF">2024-12-20T09:34:12Z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0AA2280D633C49B8BD0D2159F9EB333A_12</vt:lpwstr>
  </property>
</Properties>
</file>