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highlight w:val="none"/>
          <w:lang w:eastAsia="zh-CN"/>
        </w:rPr>
      </w:pPr>
      <w:r>
        <w:rPr>
          <w:rFonts w:hint="eastAsia" w:ascii="方正小标宋简体" w:hAnsi="方正小标宋简体" w:eastAsia="方正小标宋简体" w:cs="方正小标宋简体"/>
          <w:sz w:val="44"/>
          <w:szCs w:val="52"/>
          <w:highlight w:val="none"/>
          <w:lang w:eastAsia="zh-CN"/>
        </w:rPr>
        <w:t>淮北市“绿美江淮行动”实施方案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sz w:val="24"/>
          <w:szCs w:val="32"/>
          <w:highlight w:val="none"/>
          <w:lang w:eastAsia="zh-CN"/>
        </w:rPr>
      </w:pPr>
      <w:bookmarkStart w:id="0" w:name="_GoBack"/>
      <w:r>
        <w:rPr>
          <w:rFonts w:hint="eastAsia" w:asciiTheme="majorEastAsia" w:hAnsiTheme="majorEastAsia" w:eastAsiaTheme="majorEastAsia" w:cstheme="majorEastAsia"/>
          <w:sz w:val="36"/>
          <w:szCs w:val="44"/>
          <w:highlight w:val="none"/>
          <w:lang w:eastAsia="zh-CN"/>
        </w:rPr>
        <w:t>（征求意见稿）</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val="en-US" w:eastAsia="zh-CN"/>
        </w:rPr>
      </w:pPr>
      <w:r>
        <w:rPr>
          <w:rFonts w:hint="eastAsia" w:ascii="Times New Roman" w:hAnsi="Times New Roman" w:eastAsia="仿宋"/>
          <w:sz w:val="32"/>
          <w:szCs w:val="40"/>
          <w:highlight w:val="none"/>
          <w:lang w:eastAsia="zh-CN"/>
        </w:rPr>
        <w:t>为深入贯彻习近平生态文明思想</w:t>
      </w:r>
      <w:r>
        <w:rPr>
          <w:rFonts w:hint="eastAsia" w:ascii="Times New Roman" w:hAnsi="Times New Roman" w:eastAsia="仿宋"/>
          <w:sz w:val="32"/>
          <w:szCs w:val="40"/>
          <w:highlight w:val="none"/>
          <w:lang w:val="en-US" w:eastAsia="zh-CN"/>
        </w:rPr>
        <w:t>，牢固树立和践行绿水青山就是金山银山的理念，根据中共安徽省委办公厅 安徽省人民政府办公厅《关于开展绿美江淮行动的意见》（皖办发〔2023〕32号）文件，结合我市实际情况，现提出如下实施方案。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val="en-US" w:eastAsia="zh-CN"/>
        </w:rPr>
      </w:pPr>
      <w:r>
        <w:rPr>
          <w:rFonts w:hint="eastAsia" w:ascii="楷体" w:hAnsi="楷体" w:eastAsia="楷体" w:cs="楷体"/>
          <w:sz w:val="32"/>
          <w:szCs w:val="40"/>
          <w:highlight w:val="none"/>
          <w:lang w:val="en-US" w:eastAsia="zh-CN"/>
        </w:rPr>
        <w:t>（一）指导思想</w:t>
      </w:r>
      <w:r>
        <w:rPr>
          <w:rFonts w:hint="eastAsia" w:ascii="Times New Roman" w:hAnsi="Times New Roman" w:eastAsia="仿宋"/>
          <w:sz w:val="32"/>
          <w:szCs w:val="40"/>
          <w:highlight w:val="none"/>
          <w:lang w:val="en-US" w:eastAsia="zh-CN"/>
        </w:rPr>
        <w:t xml:space="preserve"> 坚持以习近平新时代中国特色社会主义思想为指导，全面贯彻党的二十大精神，深入落实习近平总书记对安徽系列重要讲话和重要指示批示精神，坚持山水林田湖草沙一体化保护和系统治理，充分发挥林长制优势，积极落实《关于开展绿美江淮行动的意见》（皖办发〔2023〕32号）文件，深入实施绿美淮北建设“十大行动”，精准提升森林质量，增强固碳中和功能，保护生物多样性，全方位加强林业生态建设，建设高水平城乡一体化绿美人居环境，推动生态优势转化为发展优势，推进“五宜”淮北幸福城市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仿宋"/>
          <w:sz w:val="32"/>
          <w:szCs w:val="40"/>
          <w:highlight w:val="none"/>
          <w:lang w:val="en-US" w:eastAsia="zh-CN"/>
        </w:rPr>
      </w:pPr>
      <w:r>
        <w:rPr>
          <w:rFonts w:hint="eastAsia"/>
        </w:rPr>
        <w:t>　</w:t>
      </w:r>
      <w:r>
        <w:rPr>
          <w:rFonts w:hint="eastAsia" w:ascii="Times New Roman" w:hAnsi="Times New Roman" w:eastAsia="仿宋"/>
          <w:sz w:val="32"/>
          <w:szCs w:val="40"/>
          <w:highlight w:val="none"/>
          <w:lang w:val="en-US" w:eastAsia="zh-CN"/>
        </w:rPr>
        <w:t>——生态优先、绿色发展。坚持尊重自然、顺应自然、保护自然，坚决守住自然生态安全边界，坚定不移走绿色高质量发展之路，推动构建人与自然生命共同体。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val="en-US" w:eastAsia="zh-CN"/>
        </w:rPr>
      </w:pPr>
      <w:r>
        <w:rPr>
          <w:rFonts w:hint="eastAsia" w:ascii="Times New Roman" w:hAnsi="Times New Roman" w:eastAsia="仿宋"/>
          <w:sz w:val="32"/>
          <w:szCs w:val="40"/>
          <w:highlight w:val="none"/>
          <w:lang w:val="en-US" w:eastAsia="zh-CN"/>
        </w:rPr>
        <w:t>——人民至上、绿色共享。坚持以人民为中心的发展思想，增加高质量林业生态产品的有效供给，推动绿美生态服务均等化、普惠化，促进乡村振兴，不断满足人民日益增长的优美生态环境需要。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sz w:val="32"/>
          <w:szCs w:val="40"/>
          <w:highlight w:val="none"/>
          <w:lang w:val="en-US" w:eastAsia="zh-CN"/>
        </w:rPr>
      </w:pPr>
      <w:r>
        <w:rPr>
          <w:rFonts w:hint="eastAsia" w:ascii="Times New Roman" w:hAnsi="Times New Roman" w:eastAsia="仿宋"/>
          <w:sz w:val="32"/>
          <w:szCs w:val="40"/>
          <w:highlight w:val="none"/>
          <w:lang w:val="en-US" w:eastAsia="zh-CN"/>
        </w:rPr>
        <w:t>　  ——求真务实、科学绿化。尊重本地气候条件，因地制宜，科学选择绿化树种，审慎使用外来树种，坚决防止乱砍滥伐，坚决反对“天然大树进城”、“一夜成景”、“奇花异草”等急功近利行为。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sz w:val="32"/>
          <w:szCs w:val="40"/>
          <w:highlight w:val="none"/>
          <w:lang w:val="en-US" w:eastAsia="zh-CN"/>
        </w:rPr>
      </w:pPr>
      <w:r>
        <w:rPr>
          <w:rFonts w:hint="eastAsia" w:ascii="Times New Roman" w:hAnsi="Times New Roman" w:eastAsia="仿宋"/>
          <w:sz w:val="32"/>
          <w:szCs w:val="40"/>
          <w:highlight w:val="none"/>
          <w:lang w:val="en-US" w:eastAsia="zh-CN"/>
        </w:rPr>
        <w:t>　 ——群策群力、久久为功。坚持群众路线，坚持共建共治共享，弘扬塞罕坝精神，创新社会参与绿美淮北生态建设机制，推动形成全社会人人爱绿、积极植绿、自觉护绿的生动局面，持续提升绿美淮北生态质量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val="en-US" w:eastAsia="zh-CN"/>
        </w:rPr>
      </w:pPr>
      <w:r>
        <w:rPr>
          <w:rFonts w:hint="eastAsia" w:ascii="Times New Roman" w:hAnsi="Times New Roman" w:eastAsia="仿宋"/>
          <w:sz w:val="32"/>
          <w:szCs w:val="40"/>
          <w:highlight w:val="none"/>
          <w:lang w:val="en-US" w:eastAsia="zh-CN"/>
        </w:rPr>
        <w:t>到2027年，全市林地面积总量不减少，森林覆盖率逐步提高，森林结构明显改善、质量持续提升；湿地保护率达56%以上，重要湿地得到全面保护；生物多样性得到有效保护，国家重点保护陆生野生动植物保护率不低于98%；水网、路网沿线应绿尽绿，城市建成区绿化覆盖率达46.7%以上，乡村绿化覆盖率达30%左右，古树名木保护率100%，林业碳汇能力不断增强，生态产品价值实现机制初步形成，绿美淮北行动取得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sz w:val="32"/>
          <w:szCs w:val="40"/>
          <w:highlight w:val="none"/>
          <w:lang w:val="en-US" w:eastAsia="zh-CN"/>
        </w:rPr>
      </w:pPr>
      <w:r>
        <w:rPr>
          <w:rFonts w:hint="eastAsia" w:ascii="Times New Roman" w:hAnsi="Times New Roman" w:eastAsia="仿宋"/>
          <w:sz w:val="32"/>
          <w:szCs w:val="40"/>
          <w:highlight w:val="none"/>
          <w:lang w:val="en-US" w:eastAsia="zh-CN"/>
        </w:rPr>
        <w:t>到2035年，全市森林、湿地等生态系统结构更加优化，功能更加完善，林业碳汇能力进一步提升，森林单位面积蓄积量大幅度提高，森林生态系统多样性、稳定性、持续性显著增强，优质生态产品供给更加富足，生态治理效能显著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二、重点工作任务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（一）绿美镇村行动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仿宋" w:hAnsi="仿宋" w:eastAsia="仿宋" w:cs="Times New Roman"/>
          <w:color w:val="000000"/>
          <w:sz w:val="32"/>
          <w:szCs w:val="32"/>
          <w:highlight w:val="none"/>
          <w:lang w:eastAsia="zh-CN"/>
        </w:rPr>
        <w:t>积极开展镇政府驻地绿化美化，合理布局绿化空间，通过乔、灌、花、草等植物合理配置，营造以林木为主体的花坛花境、园林小品等公共绿地，提供休闲、健身的绿色空间。加强街道两侧、干道沿线绿化提升，打造小而精美的街道微景观。</w:t>
      </w:r>
      <w:r>
        <w:rPr>
          <w:rFonts w:hint="eastAsia" w:ascii="仿宋" w:hAnsi="仿宋" w:eastAsia="仿宋" w:cs="Times New Roman"/>
          <w:color w:val="000000"/>
          <w:sz w:val="32"/>
          <w:szCs w:val="32"/>
          <w:highlight w:val="none"/>
        </w:rPr>
        <w:t>扩大“森林进村庄、经果林进庭院”规模，</w:t>
      </w:r>
      <w:r>
        <w:rPr>
          <w:rFonts w:hint="eastAsia" w:ascii="Times New Roman" w:hAnsi="Times New Roman" w:eastAsia="仿宋" w:cs="仿宋"/>
          <w:color w:val="auto"/>
          <w:sz w:val="32"/>
          <w:szCs w:val="32"/>
          <w:highlight w:val="none"/>
          <w:lang w:eastAsia="zh-CN"/>
        </w:rPr>
        <w:t>利用沟河路肩、四旁隙地、田间地头等宜林地植树造林，采用单株、树丛、树群等配置方式，因地制宜，见缝插绿，营造围村林、护路护堤林、水口林和游憩林，建设一批小微绿地。</w:t>
      </w:r>
      <w:r>
        <w:rPr>
          <w:rFonts w:hint="eastAsia" w:ascii="仿宋" w:hAnsi="仿宋" w:eastAsia="仿宋" w:cs="Times New Roman"/>
          <w:color w:val="000000"/>
          <w:sz w:val="32"/>
          <w:szCs w:val="32"/>
          <w:highlight w:val="none"/>
        </w:rPr>
        <w:t>将</w:t>
      </w:r>
      <w:r>
        <w:rPr>
          <w:rFonts w:hint="eastAsia" w:ascii="仿宋" w:hAnsi="仿宋" w:eastAsia="仿宋" w:cs="Times New Roman"/>
          <w:color w:val="000000"/>
          <w:sz w:val="32"/>
          <w:szCs w:val="32"/>
          <w:highlight w:val="none"/>
          <w:lang w:eastAsia="zh-CN"/>
        </w:rPr>
        <w:t>绿美镇村行动与</w:t>
      </w:r>
      <w:r>
        <w:rPr>
          <w:rFonts w:hint="eastAsia" w:ascii="仿宋" w:hAnsi="仿宋" w:eastAsia="仿宋" w:cs="Times New Roman"/>
          <w:color w:val="000000"/>
          <w:sz w:val="32"/>
          <w:szCs w:val="32"/>
          <w:highlight w:val="none"/>
        </w:rPr>
        <w:t>省级森林城镇、森林村庄创建</w:t>
      </w:r>
      <w:r>
        <w:rPr>
          <w:rFonts w:hint="eastAsia" w:ascii="仿宋" w:hAnsi="仿宋" w:eastAsia="仿宋" w:cs="Times New Roman"/>
          <w:color w:val="000000"/>
          <w:sz w:val="32"/>
          <w:szCs w:val="32"/>
          <w:highlight w:val="none"/>
          <w:lang w:eastAsia="zh-CN"/>
        </w:rPr>
        <w:t>、</w:t>
      </w:r>
      <w:r>
        <w:rPr>
          <w:rFonts w:hint="eastAsia" w:ascii="仿宋" w:hAnsi="仿宋" w:eastAsia="仿宋" w:cs="Times New Roman"/>
          <w:b w:val="0"/>
          <w:bCs w:val="0"/>
          <w:color w:val="000000"/>
          <w:sz w:val="32"/>
          <w:szCs w:val="32"/>
          <w:highlight w:val="none"/>
          <w:lang w:eastAsia="zh-CN"/>
        </w:rPr>
        <w:t>和美乡村建设</w:t>
      </w:r>
      <w:r>
        <w:rPr>
          <w:rFonts w:hint="eastAsia" w:ascii="仿宋" w:hAnsi="仿宋" w:eastAsia="仿宋" w:cs="Times New Roman"/>
          <w:color w:val="000000"/>
          <w:sz w:val="32"/>
          <w:szCs w:val="32"/>
          <w:highlight w:val="none"/>
        </w:rPr>
        <w:t>等有机结合，构建一</w:t>
      </w:r>
      <w:r>
        <w:rPr>
          <w:rFonts w:hint="eastAsia" w:ascii="仿宋" w:hAnsi="仿宋" w:eastAsia="仿宋" w:cs="Times New Roman"/>
          <w:color w:val="000000"/>
          <w:sz w:val="32"/>
          <w:szCs w:val="32"/>
          <w:highlight w:val="none"/>
          <w:lang w:eastAsia="zh-CN"/>
        </w:rPr>
        <w:t>镇（</w:t>
      </w:r>
      <w:r>
        <w:rPr>
          <w:rFonts w:hint="eastAsia" w:ascii="仿宋" w:hAnsi="仿宋" w:eastAsia="仿宋" w:cs="Times New Roman"/>
          <w:color w:val="000000"/>
          <w:sz w:val="32"/>
          <w:szCs w:val="32"/>
          <w:highlight w:val="none"/>
        </w:rPr>
        <w:t>村</w:t>
      </w:r>
      <w:r>
        <w:rPr>
          <w:rFonts w:hint="eastAsia" w:ascii="仿宋" w:hAnsi="仿宋" w:eastAsia="仿宋" w:cs="Times New Roman"/>
          <w:color w:val="000000"/>
          <w:sz w:val="32"/>
          <w:szCs w:val="32"/>
          <w:highlight w:val="none"/>
          <w:lang w:eastAsia="zh-CN"/>
        </w:rPr>
        <w:t>）</w:t>
      </w:r>
      <w:r>
        <w:rPr>
          <w:rFonts w:hint="eastAsia" w:ascii="仿宋" w:hAnsi="仿宋" w:eastAsia="仿宋" w:cs="Times New Roman"/>
          <w:color w:val="000000"/>
          <w:sz w:val="32"/>
          <w:szCs w:val="32"/>
          <w:highlight w:val="none"/>
        </w:rPr>
        <w:t>一品</w:t>
      </w:r>
      <w:r>
        <w:rPr>
          <w:rFonts w:hint="eastAsia" w:ascii="仿宋" w:hAnsi="仿宋" w:eastAsia="仿宋" w:cs="Times New Roman"/>
          <w:color w:val="000000"/>
          <w:sz w:val="32"/>
          <w:szCs w:val="32"/>
          <w:highlight w:val="none"/>
          <w:lang w:eastAsia="zh-CN"/>
        </w:rPr>
        <w:t>、</w:t>
      </w:r>
      <w:r>
        <w:rPr>
          <w:rFonts w:hint="eastAsia" w:ascii="仿宋" w:hAnsi="仿宋" w:eastAsia="仿宋" w:cs="Times New Roman"/>
          <w:color w:val="000000"/>
          <w:sz w:val="32"/>
          <w:szCs w:val="32"/>
          <w:highlight w:val="none"/>
        </w:rPr>
        <w:t>各具特色的</w:t>
      </w:r>
      <w:r>
        <w:rPr>
          <w:rFonts w:hint="eastAsia" w:ascii="仿宋" w:hAnsi="仿宋" w:eastAsia="仿宋" w:cs="Times New Roman"/>
          <w:color w:val="000000"/>
          <w:sz w:val="32"/>
          <w:szCs w:val="32"/>
          <w:highlight w:val="none"/>
          <w:lang w:eastAsia="zh-CN"/>
        </w:rPr>
        <w:t>镇（</w:t>
      </w:r>
      <w:r>
        <w:rPr>
          <w:rFonts w:hint="eastAsia" w:ascii="仿宋" w:hAnsi="仿宋" w:eastAsia="仿宋" w:cs="Times New Roman"/>
          <w:color w:val="000000"/>
          <w:sz w:val="32"/>
          <w:szCs w:val="32"/>
          <w:highlight w:val="none"/>
        </w:rPr>
        <w:t>村</w:t>
      </w:r>
      <w:r>
        <w:rPr>
          <w:rFonts w:hint="eastAsia" w:ascii="仿宋" w:hAnsi="仿宋" w:eastAsia="仿宋" w:cs="Times New Roman"/>
          <w:color w:val="000000"/>
          <w:sz w:val="32"/>
          <w:szCs w:val="32"/>
          <w:highlight w:val="none"/>
          <w:lang w:eastAsia="zh-CN"/>
        </w:rPr>
        <w:t>）</w:t>
      </w:r>
      <w:r>
        <w:rPr>
          <w:rFonts w:hint="eastAsia" w:ascii="仿宋" w:hAnsi="仿宋" w:eastAsia="仿宋" w:cs="Times New Roman"/>
          <w:color w:val="000000"/>
          <w:sz w:val="32"/>
          <w:szCs w:val="32"/>
          <w:highlight w:val="none"/>
        </w:rPr>
        <w:t>。</w:t>
      </w:r>
      <w:r>
        <w:rPr>
          <w:rFonts w:hint="eastAsia" w:ascii="Times New Roman" w:hAnsi="Times New Roman" w:eastAsia="仿宋"/>
          <w:sz w:val="32"/>
          <w:szCs w:val="40"/>
          <w:highlight w:val="none"/>
          <w:lang w:val="en-US" w:eastAsia="zh-CN"/>
        </w:rPr>
        <w:t>到2027年，打造6个绿美镇，30个绿美村庄，全面提升乡村绿化美化水平。</w:t>
      </w:r>
      <w:r>
        <w:rPr>
          <w:rFonts w:hint="eastAsia" w:ascii="楷体" w:hAnsi="楷体" w:eastAsia="楷体" w:cs="楷体"/>
          <w:sz w:val="32"/>
          <w:szCs w:val="40"/>
          <w:highlight w:val="none"/>
          <w:lang w:val="en-US" w:eastAsia="zh-CN"/>
        </w:rPr>
        <w:t>（责任单位：市林业局、市农业农村局、市自然资源和规划局、市生态环境局、市乡村振兴局等，此项及以下各项任务均需县区落实，不再列出）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（二）绿美城市行动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优化城市绿化空间，采取规划留绿、留白增绿、拆违还绿、拆墙透绿、见缝插绿等多种方式增加绿地总量，加快形成布局均衡、功能完善的绿地系统。重点建设社区公园、口袋公园，推进公园绿地开放共享和国球进公园等城市绿美行动。到2027年，城市绿道建设60公里，“国球进公园”建设16个，口袋公园建设40个。</w:t>
      </w:r>
      <w:r>
        <w:rPr>
          <w:rFonts w:hint="eastAsia" w:ascii="楷体" w:hAnsi="楷体" w:eastAsia="楷体" w:cs="楷体"/>
          <w:sz w:val="32"/>
          <w:szCs w:val="40"/>
          <w:highlight w:val="none"/>
          <w:lang w:val="en-US" w:eastAsia="zh-CN"/>
        </w:rPr>
        <w:t>（责任单位：市住房和城乡建设局）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（三）绿美园区行动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与国土空间规划和城市绿化相衔接，根据园区不同类型和功能定位，开展绿化美化。园区道路绿化美化，选择生长稳定、观赏价值高、生态效益好的乡土树种。厂区绿化美化，建设具有固土防尘、隔音降噪等功能的绿化带，营造布局合理、季相鲜明的园区绿化景观。</w:t>
      </w:r>
      <w:r>
        <w:rPr>
          <w:rFonts w:hint="eastAsia" w:ascii="楷体" w:hAnsi="楷体" w:eastAsia="楷体" w:cs="楷体"/>
          <w:sz w:val="32"/>
          <w:szCs w:val="40"/>
          <w:highlight w:val="none"/>
          <w:lang w:val="en-US" w:eastAsia="zh-CN"/>
        </w:rPr>
        <w:t>（责任单位：市发展和改革委员会、市经济和信息化局、淮北高新技术开发区管理委员会、淮北新型煤化工合成材料基地管理委员会、濉溪经济开发区管理委员会、濉溪芜湖现代产业园管理委员会、相山经济开发区管理委员会、杜集经济开发区管理委员会、烈山经济开发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（四）绿美校园行动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将绿化美化融入学生德智体美劳“五育”之中，建设绿美校园，制定适合淮北市中小学校的实施方案。全市高等院校和中小学结合办学特色实施校园绿化美化，打造生态、安全、趣味的绿美校园，开展丰富多彩的生态文明教育，采取自评、申报、评审相结合的方式推荐至省教育厅参评省级绿色学校，到2027年度创建各级绿色学校500所。</w:t>
      </w:r>
      <w:r>
        <w:rPr>
          <w:rFonts w:hint="eastAsia" w:ascii="楷体" w:hAnsi="楷体" w:eastAsia="楷体" w:cs="楷体"/>
          <w:sz w:val="32"/>
          <w:szCs w:val="40"/>
          <w:highlight w:val="none"/>
          <w:lang w:val="en-US" w:eastAsia="zh-CN"/>
        </w:rPr>
        <w:t>（责任单位：市教育局）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（五）绿美河湖行动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立足全市水网总体格局，从流域生态系统整体性出发，依托淮水北调-引江济淮工程，发挥水库、湖泊调蓄功能，以新沱河、王引河、萧濉新河、龙岱河、洪碱河等为重点，开展河湖岸线生态保护与综合整治，构筑具有防洪保安、水土保持、水源涵养、景观美化的多功能生态岸线，建设一批“河畅、水清、岸绿、景美、人和”的幸福河湖，开展</w:t>
      </w:r>
      <w:r>
        <w:rPr>
          <w:rFonts w:hint="eastAsia" w:ascii="仿宋_GB2312" w:hAnsi="仿宋_GB2312" w:eastAsia="仿宋_GB2312" w:cs="仿宋_GB2312"/>
          <w:b w:val="0"/>
          <w:bCs w:val="0"/>
          <w:sz w:val="32"/>
          <w:szCs w:val="32"/>
          <w:lang w:eastAsia="zh-CN"/>
        </w:rPr>
        <w:t>引江济淮工程输水干线“百里清水绿廊”建设。</w:t>
      </w:r>
      <w:r>
        <w:rPr>
          <w:rFonts w:hint="eastAsia" w:ascii="Times New Roman" w:hAnsi="Times New Roman" w:eastAsia="仿宋"/>
          <w:sz w:val="32"/>
          <w:szCs w:val="40"/>
          <w:highlight w:val="none"/>
          <w:lang w:val="en-US" w:eastAsia="zh-CN"/>
        </w:rPr>
        <w:t>全面推进湿地建设工程，以中湖、凤栖湖等重要湿地为重点，采取堤岸绿化防护、水生植物恢复、沟渠和滩地整治、生态补水等措施，提升湿地生物多样性和生态系统质量。到2027年，建成幸福河湖50条(个)，湿地公园和水利风景区全面实现绿化美化。</w:t>
      </w:r>
      <w:r>
        <w:rPr>
          <w:rFonts w:hint="eastAsia" w:ascii="楷体" w:hAnsi="楷体" w:eastAsia="楷体" w:cs="楷体"/>
          <w:sz w:val="32"/>
          <w:szCs w:val="40"/>
          <w:highlight w:val="none"/>
          <w:lang w:val="en-US" w:eastAsia="zh-CN"/>
        </w:rPr>
        <w:t>（责任单位：市水务局 市林业局）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（六）绿美景区行动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深入挖掘全市各类景区自然、历史、人文资源，切实保持景区内生态系统的原真性和完整性，实施景区绿美建设行动，增强观赏性、适游性和宣教功能。人文景区实施增绿添美，选择配置本地乡土植物，以生态特色彰显历史底蕴和人文价值。自然景区实施植绿增彩，充分利用地形地貌和原有植被，在人行道、车道、服务中心和停车场等场地因地制宜开展绿化美化增绿扩绿，以兼顾观花、观果、观叶等观赏性强的地被植物为主，提升绿化品质。大力发展乡村旅游，依托乡土文化资源，打造一批宜居宜业和美乡村精品示范村、乡村旅游重点村，到2027年，省级乡村旅游重点村达10个，市级乡村旅游重点村达20个。</w:t>
      </w:r>
      <w:r>
        <w:rPr>
          <w:rFonts w:hint="eastAsia" w:ascii="楷体" w:hAnsi="楷体" w:eastAsia="楷体" w:cs="楷体"/>
          <w:sz w:val="32"/>
          <w:szCs w:val="40"/>
          <w:highlight w:val="none"/>
          <w:lang w:val="en-US" w:eastAsia="zh-CN"/>
        </w:rPr>
        <w:t>（责任单位：市文化旅游体育局、市住房和城乡建设局、市农业农村局、市林业局等）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（七）绿美通道行动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以市为推进主体的高速公路、国省干线公路在设计时统筹考虑通勤便捷、生态景观和消纳排放功能，留足绿化空间，一体规划、接续实施。针对性地提出景观设计、环境保护、水土保护和生态恢复的防治措施与设计方案。扎实开展主干道路沿线、主要交通节点等绿化美化，结合淮北市气候与生态特点，广泛使用乡土树种，积极培育混交林，营造复层景观林。对缺株断带质量不高的公路林带严格按照国家有关规定和建设标准进行补绿扩带、更新改造。到2027年，全市以市为推进主体的高速公路、国省干线公路可绿化里程绿化率达 90%以上。</w:t>
      </w:r>
      <w:r>
        <w:rPr>
          <w:rFonts w:hint="eastAsia" w:ascii="楷体" w:hAnsi="楷体" w:eastAsia="楷体" w:cs="楷体"/>
          <w:sz w:val="32"/>
          <w:szCs w:val="40"/>
          <w:highlight w:val="none"/>
          <w:lang w:val="en-US" w:eastAsia="zh-CN"/>
        </w:rPr>
        <w:t>（责任单位：市交通局）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（八）绿美产业发展行动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sz w:val="32"/>
          <w:szCs w:val="40"/>
          <w:highlight w:val="none"/>
          <w:lang w:val="en-US" w:eastAsia="zh-CN"/>
        </w:rPr>
      </w:pPr>
      <w:r>
        <w:rPr>
          <w:rFonts w:hint="eastAsia" w:ascii="仿宋" w:hAnsi="仿宋" w:eastAsia="仿宋" w:cs="仿宋"/>
          <w:sz w:val="32"/>
          <w:szCs w:val="32"/>
          <w:highlight w:val="none"/>
        </w:rPr>
        <w:t>加快林业科技新成果、新技术、新机械的推广应用，提升林业产业科学化水平</w:t>
      </w:r>
      <w:r>
        <w:rPr>
          <w:rFonts w:hint="eastAsia" w:ascii="仿宋" w:hAnsi="仿宋" w:eastAsia="仿宋" w:cs="仿宋"/>
          <w:sz w:val="32"/>
          <w:szCs w:val="32"/>
          <w:highlight w:val="none"/>
          <w:lang w:eastAsia="zh-CN"/>
        </w:rPr>
        <w:t>。</w:t>
      </w:r>
      <w:r>
        <w:rPr>
          <w:rFonts w:hint="eastAsia" w:ascii="仿宋_GB2312" w:hAnsi="仿宋" w:eastAsia="仿宋_GB2312" w:cs="仿宋"/>
          <w:spacing w:val="-4"/>
          <w:sz w:val="32"/>
          <w:szCs w:val="32"/>
          <w:highlight w:val="none"/>
        </w:rPr>
        <w:t>结合石榴</w:t>
      </w:r>
      <w:r>
        <w:rPr>
          <w:rFonts w:hint="eastAsia" w:ascii="仿宋_GB2312" w:hAnsi="仿宋" w:eastAsia="仿宋_GB2312" w:cs="仿宋"/>
          <w:spacing w:val="-4"/>
          <w:sz w:val="32"/>
          <w:szCs w:val="32"/>
          <w:highlight w:val="none"/>
          <w:lang w:eastAsia="zh-CN"/>
        </w:rPr>
        <w:t>、</w:t>
      </w:r>
      <w:r>
        <w:rPr>
          <w:rFonts w:hint="eastAsia" w:ascii="仿宋_GB2312" w:hAnsi="仿宋" w:eastAsia="仿宋_GB2312" w:cs="仿宋"/>
          <w:spacing w:val="-4"/>
          <w:sz w:val="32"/>
          <w:szCs w:val="32"/>
          <w:highlight w:val="none"/>
        </w:rPr>
        <w:t>灵枣</w:t>
      </w:r>
      <w:r>
        <w:rPr>
          <w:rFonts w:hint="eastAsia" w:ascii="仿宋_GB2312" w:hAnsi="仿宋" w:eastAsia="仿宋_GB2312" w:cs="仿宋"/>
          <w:spacing w:val="-4"/>
          <w:sz w:val="32"/>
          <w:szCs w:val="32"/>
          <w:highlight w:val="none"/>
          <w:lang w:eastAsia="zh-CN"/>
        </w:rPr>
        <w:t>等</w:t>
      </w:r>
      <w:r>
        <w:rPr>
          <w:rFonts w:hint="eastAsia" w:ascii="仿宋_GB2312" w:hAnsi="仿宋" w:eastAsia="仿宋_GB2312" w:cs="仿宋"/>
          <w:spacing w:val="-4"/>
          <w:sz w:val="32"/>
          <w:szCs w:val="32"/>
          <w:highlight w:val="none"/>
        </w:rPr>
        <w:t>产业资源，培育</w:t>
      </w:r>
      <w:r>
        <w:rPr>
          <w:rFonts w:hint="eastAsia" w:ascii="仿宋_GB2312" w:hAnsi="仿宋" w:eastAsia="仿宋_GB2312" w:cs="仿宋"/>
          <w:spacing w:val="-4"/>
          <w:sz w:val="32"/>
          <w:szCs w:val="32"/>
          <w:highlight w:val="none"/>
          <w:lang w:eastAsia="zh-CN"/>
        </w:rPr>
        <w:t>林产品</w:t>
      </w:r>
      <w:r>
        <w:rPr>
          <w:rFonts w:hint="eastAsia" w:ascii="仿宋_GB2312" w:hAnsi="仿宋" w:eastAsia="仿宋_GB2312" w:cs="仿宋"/>
          <w:spacing w:val="-4"/>
          <w:sz w:val="32"/>
          <w:szCs w:val="32"/>
          <w:highlight w:val="none"/>
        </w:rPr>
        <w:t>精细加工企业，延长产业链</w:t>
      </w:r>
      <w:r>
        <w:rPr>
          <w:rFonts w:hint="eastAsia" w:ascii="仿宋_GB2312" w:hAnsi="仿宋" w:eastAsia="仿宋_GB2312" w:cs="仿宋"/>
          <w:spacing w:val="-4"/>
          <w:sz w:val="32"/>
          <w:szCs w:val="32"/>
          <w:highlight w:val="none"/>
          <w:lang w:eastAsia="zh-CN"/>
        </w:rPr>
        <w:t>。</w:t>
      </w:r>
      <w:r>
        <w:rPr>
          <w:rFonts w:hint="eastAsia" w:ascii="仿宋_GB2312" w:hAnsi="仿宋" w:eastAsia="仿宋_GB2312" w:cs="仿宋"/>
          <w:spacing w:val="-4"/>
          <w:sz w:val="32"/>
          <w:szCs w:val="32"/>
          <w:highlight w:val="none"/>
        </w:rPr>
        <w:t>以宁丰木业、雨佳木业为样板点构建淮北木材加工新格局，打造具有影响力的特色林业产业集群。</w:t>
      </w:r>
      <w:r>
        <w:rPr>
          <w:rFonts w:hint="eastAsia" w:ascii="仿宋" w:hAnsi="仿宋" w:eastAsia="仿宋" w:cs="仿宋"/>
          <w:sz w:val="32"/>
          <w:szCs w:val="32"/>
          <w:highlight w:val="none"/>
        </w:rPr>
        <w:t>大力发展林下经济，做好林业“土特产”文章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挖掘森林生态资源，发展生态旅游和森林康养新业态</w:t>
      </w:r>
      <w:r>
        <w:rPr>
          <w:rFonts w:hint="eastAsia" w:ascii="仿宋" w:hAnsi="仿宋" w:eastAsia="仿宋" w:cs="仿宋"/>
          <w:sz w:val="32"/>
          <w:szCs w:val="32"/>
          <w:highlight w:val="none"/>
          <w:lang w:eastAsia="zh-CN"/>
        </w:rPr>
        <w:t>，</w:t>
      </w:r>
      <w:r>
        <w:rPr>
          <w:rFonts w:hint="eastAsia" w:ascii="仿宋_GB2312" w:hAnsi="仿宋" w:eastAsia="仿宋_GB2312" w:cs="仿宋"/>
          <w:spacing w:val="-4"/>
          <w:sz w:val="32"/>
          <w:szCs w:val="32"/>
          <w:highlight w:val="none"/>
          <w:lang w:val="en-US" w:eastAsia="zh-CN"/>
        </w:rPr>
        <w:t>充分利用榴园石榴、黄营灵枣、段园葡萄等</w:t>
      </w:r>
      <w:r>
        <w:rPr>
          <w:rFonts w:hint="eastAsia" w:ascii="仿宋_GB2312" w:hAnsi="仿宋" w:eastAsia="仿宋_GB2312" w:cs="仿宋"/>
          <w:spacing w:val="-4"/>
          <w:sz w:val="32"/>
          <w:szCs w:val="32"/>
          <w:highlight w:val="none"/>
        </w:rPr>
        <w:t>林业产业基地</w:t>
      </w:r>
      <w:r>
        <w:rPr>
          <w:rFonts w:hint="eastAsia" w:ascii="仿宋_GB2312" w:hAnsi="仿宋" w:eastAsia="仿宋_GB2312" w:cs="仿宋"/>
          <w:spacing w:val="-4"/>
          <w:sz w:val="32"/>
          <w:szCs w:val="32"/>
          <w:highlight w:val="none"/>
          <w:lang w:eastAsia="zh-CN"/>
        </w:rPr>
        <w:t>、龙脊天路</w:t>
      </w:r>
      <w:r>
        <w:rPr>
          <w:rFonts w:hint="eastAsia" w:ascii="仿宋_GB2312" w:hAnsi="仿宋" w:eastAsia="仿宋_GB2312" w:cs="仿宋"/>
          <w:spacing w:val="-4"/>
          <w:sz w:val="32"/>
          <w:szCs w:val="32"/>
          <w:highlight w:val="none"/>
        </w:rPr>
        <w:t>和湿地公园，打造一批具有我市特色和富有辐射力、影响力的重点森林旅游项目；围绕森林康养“食、住、行、游、娱、购”六大方面，增加文化、旅游、养生等智慧森林康养要素，深入推进“森林康养+”产业融合</w:t>
      </w:r>
      <w:r>
        <w:rPr>
          <w:rFonts w:hint="eastAsia" w:ascii="仿宋" w:hAnsi="仿宋" w:eastAsia="仿宋" w:cs="仿宋"/>
          <w:sz w:val="32"/>
          <w:szCs w:val="32"/>
          <w:highlight w:val="none"/>
        </w:rPr>
        <w:t>。依托中国·合肥苗木花卉交易大会平台，</w:t>
      </w:r>
      <w:r>
        <w:rPr>
          <w:rFonts w:hint="eastAsia" w:ascii="仿宋" w:hAnsi="仿宋" w:eastAsia="仿宋" w:cs="仿宋"/>
          <w:sz w:val="32"/>
          <w:szCs w:val="32"/>
          <w:highlight w:val="none"/>
          <w:lang w:eastAsia="zh-CN"/>
        </w:rPr>
        <w:t>宣传推介淮北特色林产品</w:t>
      </w:r>
      <w:r>
        <w:rPr>
          <w:rFonts w:hint="eastAsia" w:ascii="仿宋" w:hAnsi="仿宋" w:eastAsia="仿宋" w:cs="仿宋"/>
          <w:sz w:val="32"/>
          <w:szCs w:val="32"/>
          <w:highlight w:val="none"/>
        </w:rPr>
        <w:t>。到2027年，</w:t>
      </w:r>
      <w:r>
        <w:rPr>
          <w:rFonts w:hint="eastAsia" w:ascii="仿宋" w:hAnsi="仿宋" w:eastAsia="仿宋" w:cs="仿宋"/>
          <w:sz w:val="32"/>
          <w:szCs w:val="32"/>
          <w:highlight w:val="none"/>
          <w:lang w:eastAsia="zh-CN"/>
        </w:rPr>
        <w:t>省级</w:t>
      </w:r>
      <w:r>
        <w:rPr>
          <w:rFonts w:hint="eastAsia" w:ascii="仿宋" w:hAnsi="仿宋" w:eastAsia="仿宋" w:cs="仿宋"/>
          <w:sz w:val="32"/>
          <w:szCs w:val="32"/>
          <w:highlight w:val="none"/>
        </w:rPr>
        <w:t>林业重点龙头企业</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个，省级特色林业高质量发展示范园</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个，全</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林业产值超</w:t>
      </w:r>
      <w:r>
        <w:rPr>
          <w:rFonts w:hint="eastAsia" w:ascii="仿宋" w:hAnsi="仿宋" w:eastAsia="仿宋" w:cs="仿宋"/>
          <w:sz w:val="32"/>
          <w:szCs w:val="32"/>
          <w:highlight w:val="none"/>
          <w:lang w:val="en-US" w:eastAsia="zh-CN"/>
        </w:rPr>
        <w:t>65</w:t>
      </w:r>
      <w:r>
        <w:rPr>
          <w:rFonts w:hint="eastAsia" w:ascii="仿宋" w:hAnsi="仿宋" w:eastAsia="仿宋" w:cs="仿宋"/>
          <w:sz w:val="32"/>
          <w:szCs w:val="32"/>
          <w:highlight w:val="none"/>
        </w:rPr>
        <w:t>亿元。</w:t>
      </w:r>
      <w:r>
        <w:rPr>
          <w:rFonts w:hint="eastAsia" w:ascii="楷体" w:hAnsi="楷体" w:eastAsia="楷体" w:cs="楷体"/>
          <w:sz w:val="32"/>
          <w:szCs w:val="40"/>
          <w:highlight w:val="none"/>
          <w:lang w:val="en-US" w:eastAsia="zh-CN"/>
        </w:rPr>
        <w:t>（责任单位：市林业局、市农业农村局、市文化旅游体育局等）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（九）绿美古树保护行动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Times New Roman" w:hAnsi="Times New Roman" w:eastAsia="仿宋"/>
          <w:sz w:val="32"/>
          <w:szCs w:val="40"/>
          <w:highlight w:val="none"/>
          <w:lang w:val="en-US" w:eastAsia="zh-CN"/>
        </w:rPr>
        <w:t>重视古树名木保护工作，落实日常管护养护措施，加强日常巡查巡护，防止人为破坏和过度干预，按照“一树一档”建立古树名木档案。开展古树名木资源监测调查，加强实时动态管理，强化古树群保护，推进古树公园建设，严格保护古树名木及其自然生境，对濒危古树名木及时抢救复壮。建立健全古树名木分级管护制度，严格查处违法违规迁移、破坏古树名木行为。利用传统媒体和新媒体，加强宣传引导，营造全社会保护古树名木的良好氛围。到2027年，古树名木挂牌保护率100%，建立古树公园1个，古树旅游文化景点5处。</w:t>
      </w:r>
      <w:r>
        <w:rPr>
          <w:rFonts w:hint="eastAsia" w:ascii="楷体" w:hAnsi="楷体" w:eastAsia="楷体" w:cs="楷体"/>
          <w:sz w:val="32"/>
          <w:szCs w:val="40"/>
          <w:highlight w:val="none"/>
          <w:lang w:val="en-US" w:eastAsia="zh-CN"/>
        </w:rPr>
        <w:t>（责任单位：市林业局、市住房和城乡建设局、市文化旅游体育局等）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40"/>
          <w:highlight w:val="none"/>
          <w:lang w:val="en-US" w:eastAsia="zh-CN"/>
        </w:rPr>
      </w:pPr>
      <w:r>
        <w:rPr>
          <w:rFonts w:hint="eastAsia" w:ascii="楷体" w:hAnsi="楷体" w:eastAsia="楷体" w:cs="楷体"/>
          <w:b w:val="0"/>
          <w:bCs w:val="0"/>
          <w:sz w:val="32"/>
          <w:szCs w:val="40"/>
          <w:highlight w:val="none"/>
          <w:lang w:val="en-US" w:eastAsia="zh-CN"/>
        </w:rPr>
        <w:t>（十）绿美森林提升行动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仿宋" w:hAnsi="仿宋" w:eastAsia="仿宋"/>
          <w:color w:val="000000" w:themeColor="text1"/>
          <w:sz w:val="32"/>
          <w:szCs w:val="32"/>
          <w:highlight w:val="none"/>
          <w:lang w:val="en-US" w:eastAsia="zh-CN"/>
          <w14:textFill>
            <w14:solidFill>
              <w14:schemeClr w14:val="tx1"/>
            </w14:solidFill>
          </w14:textFill>
        </w:rPr>
        <w:t>巩固完善农田林网</w:t>
      </w:r>
      <w:r>
        <w:rPr>
          <w:rFonts w:hint="eastAsia" w:ascii="仿宋" w:hAnsi="仿宋" w:eastAsia="仿宋"/>
          <w:color w:val="000000" w:themeColor="text1"/>
          <w:sz w:val="32"/>
          <w:szCs w:val="32"/>
          <w:highlight w:val="none"/>
          <w:lang w:eastAsia="zh-CN"/>
          <w14:textFill>
            <w14:solidFill>
              <w14:schemeClr w14:val="tx1"/>
            </w14:solidFill>
          </w14:textFill>
        </w:rPr>
        <w:t>建设，</w:t>
      </w:r>
      <w:r>
        <w:rPr>
          <w:rFonts w:hint="eastAsia" w:ascii="仿宋" w:hAnsi="仿宋" w:eastAsia="仿宋"/>
          <w:color w:val="000000" w:themeColor="text1"/>
          <w:sz w:val="32"/>
          <w:szCs w:val="32"/>
          <w:highlight w:val="none"/>
          <w14:textFill>
            <w14:solidFill>
              <w14:schemeClr w14:val="tx1"/>
            </w14:solidFill>
          </w14:textFill>
        </w:rPr>
        <w:t>因地制宜、因害设防做好农田林网新建和残缺林网补造</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开展农田林网示范片创建，建设高效农田林网样板</w:t>
      </w:r>
      <w:r>
        <w:rPr>
          <w:rFonts w:hint="eastAsia" w:ascii="仿宋" w:hAnsi="仿宋" w:eastAsia="仿宋"/>
          <w:color w:val="000000" w:themeColor="text1"/>
          <w:sz w:val="32"/>
          <w:szCs w:val="32"/>
          <w:highlight w:val="none"/>
          <w:lang w:eastAsia="zh-CN"/>
          <w14:textFill>
            <w14:solidFill>
              <w14:schemeClr w14:val="tx1"/>
            </w14:solidFill>
          </w14:textFill>
        </w:rPr>
        <w:t>工程</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深入实施“五大森林”行动，大力开展石质山绿化提质增效、废弃采石宕口生态修复，推进“二次上山”行动，实施“每年</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lang w:eastAsia="zh-CN"/>
          <w14:textFill>
            <w14:solidFill>
              <w14:schemeClr w14:val="tx1"/>
            </w14:solidFill>
          </w14:textFill>
        </w:rPr>
        <w:t>万棵黄栌”计划，加快建设“龙脊天路”四季景观工程、相山森林公园林相改造工程，</w:t>
      </w:r>
      <w:r>
        <w:rPr>
          <w:rFonts w:hint="eastAsia" w:ascii="仿宋" w:hAnsi="仿宋" w:eastAsia="仿宋"/>
          <w:color w:val="000000"/>
          <w:sz w:val="32"/>
          <w:szCs w:val="32"/>
          <w:highlight w:val="none"/>
          <w:lang w:eastAsia="zh-CN"/>
        </w:rPr>
        <w:t>加强森林抚育经营，提高森林生态系统稳定性和碳汇能力。加强森林资源管理、森林防灭火和林业有害生物防治工作，坚守生态安全底线。</w:t>
      </w:r>
      <w:r>
        <w:rPr>
          <w:rFonts w:hint="eastAsia" w:ascii="Times New Roman" w:hAnsi="Times New Roman" w:eastAsia="仿宋"/>
          <w:sz w:val="32"/>
          <w:szCs w:val="40"/>
          <w:highlight w:val="none"/>
          <w:lang w:val="en-US" w:eastAsia="zh-CN"/>
        </w:rPr>
        <w:t>创新全民义务植树尽责形式，开发“碳票+义务植树”应用场景，建立一批“青年林”、“巾帼林”“八一林”“碳汇林”“工会林”等主题林和“互联网＋义务植树”基地。</w:t>
      </w:r>
      <w:r>
        <w:rPr>
          <w:rFonts w:hint="eastAsia" w:ascii="仿宋" w:hAnsi="仿宋" w:eastAsia="仿宋"/>
          <w:color w:val="000000"/>
          <w:sz w:val="32"/>
          <w:szCs w:val="32"/>
          <w:highlight w:val="none"/>
          <w:lang w:eastAsia="zh-CN"/>
        </w:rPr>
        <w:t>到</w:t>
      </w:r>
      <w:r>
        <w:rPr>
          <w:rFonts w:hint="eastAsia" w:ascii="仿宋" w:hAnsi="仿宋" w:eastAsia="仿宋"/>
          <w:color w:val="000000"/>
          <w:sz w:val="32"/>
          <w:szCs w:val="32"/>
          <w:highlight w:val="none"/>
          <w:lang w:val="en-US" w:eastAsia="zh-CN"/>
        </w:rPr>
        <w:t>2027年，农田林网控制率达到90%，完成“二次上山”行动规划目标任务。</w:t>
      </w:r>
      <w:r>
        <w:rPr>
          <w:rFonts w:hint="eastAsia" w:ascii="楷体" w:hAnsi="楷体" w:eastAsia="楷体" w:cs="楷体"/>
          <w:sz w:val="32"/>
          <w:szCs w:val="40"/>
          <w:highlight w:val="none"/>
          <w:lang w:val="en-US" w:eastAsia="zh-CN"/>
        </w:rPr>
        <w:t>（责任单位：市林业局、市自然资源和规划局、市农业农村局、市生态环境局、市退役军人事务局、市总工会、团市委、市妇女联合会）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val="en-US" w:eastAsia="zh-CN"/>
        </w:rPr>
      </w:pPr>
      <w:r>
        <w:rPr>
          <w:rFonts w:hint="eastAsia" w:ascii="楷体" w:hAnsi="楷体" w:eastAsia="楷体" w:cs="楷体"/>
          <w:sz w:val="32"/>
          <w:szCs w:val="40"/>
          <w:highlight w:val="none"/>
          <w:lang w:val="en-US" w:eastAsia="zh-CN"/>
        </w:rPr>
        <w:t>（一）加强组织领导。</w:t>
      </w:r>
      <w:r>
        <w:rPr>
          <w:rFonts w:hint="eastAsia" w:ascii="Times New Roman" w:hAnsi="Times New Roman" w:eastAsia="仿宋"/>
          <w:sz w:val="32"/>
          <w:szCs w:val="40"/>
          <w:highlight w:val="none"/>
          <w:lang w:val="en-US" w:eastAsia="zh-CN"/>
        </w:rPr>
        <w:t>坚持把党的领导贯穿绿美淮北行动全过程，充分发挥四级林长作用，压实各级党委和政府主体责任，充实基层执法和护林力量。强化各级林长森林资源保护发展目标责任制考核，将绿美江淮纳入部门考核。市直有关部门要各司其职、互相配合，细化落实举措，形成上下联动、协同推进绿美淮北行动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（二）加强政策支持。</w:t>
      </w:r>
      <w:r>
        <w:rPr>
          <w:rFonts w:hint="eastAsia" w:ascii="Times New Roman" w:hAnsi="Times New Roman" w:eastAsia="仿宋"/>
          <w:sz w:val="32"/>
          <w:szCs w:val="40"/>
          <w:highlight w:val="none"/>
          <w:lang w:val="en-US" w:eastAsia="zh-CN"/>
        </w:rPr>
        <w:t>加大财政资金统筹力度，加强对绿美江淮行动支持力度。将符合条件的林业企业纳入市农业产业化发展基金支持范围，引导社会资本投入林业。精准用好绿色金融政策，鼓励银行围绕生产特点，创新服务，加大对林业企业合理融资需求的支持。严格落实林地定额使用、以补定占和占补平衡制度。</w:t>
      </w:r>
      <w:r>
        <w:rPr>
          <w:rFonts w:hint="eastAsia" w:ascii="楷体" w:hAnsi="楷体" w:eastAsia="楷体" w:cs="楷体"/>
          <w:sz w:val="32"/>
          <w:szCs w:val="40"/>
          <w:highlight w:val="none"/>
          <w:lang w:val="en-US" w:eastAsia="zh-CN"/>
        </w:rPr>
        <w:t>（责任单位：市财政局、市农业农村局、市地方金融管理局、市林业局等）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（三）加强科技支撑。</w:t>
      </w:r>
      <w:r>
        <w:rPr>
          <w:rFonts w:hint="eastAsia" w:ascii="Times New Roman" w:hAnsi="Times New Roman" w:eastAsia="仿宋"/>
          <w:sz w:val="32"/>
          <w:szCs w:val="40"/>
          <w:highlight w:val="none"/>
          <w:lang w:val="en-US" w:eastAsia="zh-CN"/>
        </w:rPr>
        <w:t>加强生态保护、绿色产业领域科技创新，重点突破林木良种选育、乡土珍贵树种扩繁、森林质量提升、生态修复、有害生物防控等关键技术。强化科技成果转化、科技示范推广，加快“智慧林业”建设，提升森林资源保护发展信息化、数字化、智能化水平。</w:t>
      </w:r>
      <w:r>
        <w:rPr>
          <w:rFonts w:hint="eastAsia" w:ascii="楷体" w:hAnsi="楷体" w:eastAsia="楷体" w:cs="楷体"/>
          <w:sz w:val="32"/>
          <w:szCs w:val="40"/>
          <w:highlight w:val="none"/>
          <w:lang w:val="en-US" w:eastAsia="zh-CN"/>
        </w:rPr>
        <w:t>（责任单位：市科学技术局、市林业局）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szCs w:val="40"/>
          <w:highlight w:val="none"/>
          <w:lang w:val="en-US" w:eastAsia="zh-CN"/>
        </w:rPr>
      </w:pPr>
      <w:r>
        <w:rPr>
          <w:rFonts w:hint="eastAsia" w:ascii="楷体" w:hAnsi="楷体" w:eastAsia="楷体" w:cs="楷体"/>
          <w:sz w:val="32"/>
          <w:szCs w:val="40"/>
          <w:highlight w:val="none"/>
          <w:lang w:val="en-US" w:eastAsia="zh-CN"/>
        </w:rPr>
        <w:t>（四）加强宣传引导。</w:t>
      </w:r>
      <w:r>
        <w:rPr>
          <w:rFonts w:hint="eastAsia" w:ascii="Times New Roman" w:hAnsi="Times New Roman" w:eastAsia="仿宋"/>
          <w:sz w:val="32"/>
          <w:szCs w:val="40"/>
          <w:highlight w:val="none"/>
          <w:lang w:val="en-US" w:eastAsia="zh-CN"/>
        </w:rPr>
        <w:t>深入宣传习近平生态文明思想，弘扬生态文明理念，普及科学绿化、绿色发展科学知识，倡导爱护生态、崇尚自然、绿色消费的生产生活方式。充分利用各类媒体平台，广泛开展绿美淮北专题宣传活动，营造人人植绿增美浓厚氛围，推动大地植绿、心中播绿、全民享绿成为时代新风尚。</w:t>
      </w:r>
      <w:r>
        <w:rPr>
          <w:rFonts w:hint="eastAsia" w:ascii="楷体" w:hAnsi="楷体" w:eastAsia="楷体" w:cs="楷体"/>
          <w:sz w:val="32"/>
          <w:szCs w:val="40"/>
          <w:highlight w:val="none"/>
          <w:lang w:val="en-US" w:eastAsia="zh-CN"/>
        </w:rPr>
        <w:t>（责任单位：市委宣传部、市文化旅游体育局、市林业局、市传媒中心）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TNmNDYxOWJhZjI4NGIzNWRmYjFlNWFjMjQwNDYifQ=="/>
  </w:docVars>
  <w:rsids>
    <w:rsidRoot w:val="7B2632A4"/>
    <w:rsid w:val="01E0762A"/>
    <w:rsid w:val="01E718F6"/>
    <w:rsid w:val="031909B5"/>
    <w:rsid w:val="040D75DE"/>
    <w:rsid w:val="043C7914"/>
    <w:rsid w:val="09172625"/>
    <w:rsid w:val="0A765DDE"/>
    <w:rsid w:val="0AD56FBC"/>
    <w:rsid w:val="0B0F2966"/>
    <w:rsid w:val="0BB4198C"/>
    <w:rsid w:val="0BD84366"/>
    <w:rsid w:val="0C3B5596"/>
    <w:rsid w:val="0EA807A1"/>
    <w:rsid w:val="11CD5643"/>
    <w:rsid w:val="11D8317B"/>
    <w:rsid w:val="11F2137A"/>
    <w:rsid w:val="121D2867"/>
    <w:rsid w:val="12C80001"/>
    <w:rsid w:val="12ED6B8F"/>
    <w:rsid w:val="13EC34B8"/>
    <w:rsid w:val="141846D1"/>
    <w:rsid w:val="14D02CF5"/>
    <w:rsid w:val="16601997"/>
    <w:rsid w:val="17DD454F"/>
    <w:rsid w:val="196640D0"/>
    <w:rsid w:val="1979256B"/>
    <w:rsid w:val="19942BFD"/>
    <w:rsid w:val="1A387A77"/>
    <w:rsid w:val="1AAB623F"/>
    <w:rsid w:val="1B87029B"/>
    <w:rsid w:val="1B9D47D8"/>
    <w:rsid w:val="1C4A1B61"/>
    <w:rsid w:val="1C7F517D"/>
    <w:rsid w:val="1D8334A3"/>
    <w:rsid w:val="1EE961C7"/>
    <w:rsid w:val="1F565AA5"/>
    <w:rsid w:val="1F574BE7"/>
    <w:rsid w:val="200205BA"/>
    <w:rsid w:val="201E2CF4"/>
    <w:rsid w:val="20990369"/>
    <w:rsid w:val="20FD356C"/>
    <w:rsid w:val="218E5F13"/>
    <w:rsid w:val="21910458"/>
    <w:rsid w:val="238C16CB"/>
    <w:rsid w:val="23D02FED"/>
    <w:rsid w:val="23D0649A"/>
    <w:rsid w:val="2452531A"/>
    <w:rsid w:val="24A3234B"/>
    <w:rsid w:val="256F7251"/>
    <w:rsid w:val="25C428AA"/>
    <w:rsid w:val="260D24A3"/>
    <w:rsid w:val="267B00DA"/>
    <w:rsid w:val="26A40542"/>
    <w:rsid w:val="27196C26"/>
    <w:rsid w:val="27561C28"/>
    <w:rsid w:val="27C90592"/>
    <w:rsid w:val="28810F26"/>
    <w:rsid w:val="298505A2"/>
    <w:rsid w:val="2B7B6B96"/>
    <w:rsid w:val="2BA04F56"/>
    <w:rsid w:val="2C103050"/>
    <w:rsid w:val="2C2F1CCC"/>
    <w:rsid w:val="2E271A2B"/>
    <w:rsid w:val="2E493CAB"/>
    <w:rsid w:val="2E8675C2"/>
    <w:rsid w:val="30032221"/>
    <w:rsid w:val="30077F63"/>
    <w:rsid w:val="315A7EEB"/>
    <w:rsid w:val="319B388F"/>
    <w:rsid w:val="32FB0021"/>
    <w:rsid w:val="334E5EA9"/>
    <w:rsid w:val="34761214"/>
    <w:rsid w:val="34A86C01"/>
    <w:rsid w:val="34FF7FF6"/>
    <w:rsid w:val="35B860C4"/>
    <w:rsid w:val="37D00A9F"/>
    <w:rsid w:val="39264F1F"/>
    <w:rsid w:val="3BFD046C"/>
    <w:rsid w:val="3C4E7831"/>
    <w:rsid w:val="3D02260D"/>
    <w:rsid w:val="3D3D7DFE"/>
    <w:rsid w:val="3E0F04E4"/>
    <w:rsid w:val="3F47306E"/>
    <w:rsid w:val="42330485"/>
    <w:rsid w:val="426C5E08"/>
    <w:rsid w:val="43352FC0"/>
    <w:rsid w:val="43356B26"/>
    <w:rsid w:val="439112BF"/>
    <w:rsid w:val="45445EB5"/>
    <w:rsid w:val="476D64A6"/>
    <w:rsid w:val="48237A66"/>
    <w:rsid w:val="48DB7DC8"/>
    <w:rsid w:val="48FF5824"/>
    <w:rsid w:val="495C3AB7"/>
    <w:rsid w:val="4AED49E6"/>
    <w:rsid w:val="4B286056"/>
    <w:rsid w:val="4C7079FD"/>
    <w:rsid w:val="4C8B63A9"/>
    <w:rsid w:val="4DA03654"/>
    <w:rsid w:val="4E65467D"/>
    <w:rsid w:val="4EE41C2E"/>
    <w:rsid w:val="4F674123"/>
    <w:rsid w:val="4FC6709B"/>
    <w:rsid w:val="51FE4E83"/>
    <w:rsid w:val="52D51074"/>
    <w:rsid w:val="53010309"/>
    <w:rsid w:val="534506B9"/>
    <w:rsid w:val="53A94D0A"/>
    <w:rsid w:val="53D472C8"/>
    <w:rsid w:val="54302E85"/>
    <w:rsid w:val="54A62D4D"/>
    <w:rsid w:val="54C83795"/>
    <w:rsid w:val="54FC355F"/>
    <w:rsid w:val="55ED612D"/>
    <w:rsid w:val="56192CD3"/>
    <w:rsid w:val="56D77DE0"/>
    <w:rsid w:val="57876C3E"/>
    <w:rsid w:val="58056B37"/>
    <w:rsid w:val="58101A42"/>
    <w:rsid w:val="583F005A"/>
    <w:rsid w:val="5A3E4514"/>
    <w:rsid w:val="5ADC676F"/>
    <w:rsid w:val="5B477756"/>
    <w:rsid w:val="5C2604A9"/>
    <w:rsid w:val="5C3906CD"/>
    <w:rsid w:val="5C991AE3"/>
    <w:rsid w:val="5E6D4A94"/>
    <w:rsid w:val="5E74502D"/>
    <w:rsid w:val="5FEE600A"/>
    <w:rsid w:val="60483AFC"/>
    <w:rsid w:val="606049A2"/>
    <w:rsid w:val="612131A7"/>
    <w:rsid w:val="613C1835"/>
    <w:rsid w:val="62372724"/>
    <w:rsid w:val="62D357E6"/>
    <w:rsid w:val="631C5AAC"/>
    <w:rsid w:val="63544C3D"/>
    <w:rsid w:val="6377462C"/>
    <w:rsid w:val="65DC5450"/>
    <w:rsid w:val="665772CE"/>
    <w:rsid w:val="66760F33"/>
    <w:rsid w:val="68686AEA"/>
    <w:rsid w:val="69B018C1"/>
    <w:rsid w:val="6A5A4B58"/>
    <w:rsid w:val="6A6D6639"/>
    <w:rsid w:val="6A704D8B"/>
    <w:rsid w:val="6ACD33C3"/>
    <w:rsid w:val="6AEE5B61"/>
    <w:rsid w:val="6B8E4AB9"/>
    <w:rsid w:val="6D1A7669"/>
    <w:rsid w:val="6D3E40EF"/>
    <w:rsid w:val="6D6628BC"/>
    <w:rsid w:val="6E6E472E"/>
    <w:rsid w:val="71E26D02"/>
    <w:rsid w:val="73E429B4"/>
    <w:rsid w:val="74287C2D"/>
    <w:rsid w:val="748F53FE"/>
    <w:rsid w:val="754A1623"/>
    <w:rsid w:val="766A5EA1"/>
    <w:rsid w:val="76935750"/>
    <w:rsid w:val="787806D3"/>
    <w:rsid w:val="78F97FC3"/>
    <w:rsid w:val="797F7012"/>
    <w:rsid w:val="7A01341F"/>
    <w:rsid w:val="7A995229"/>
    <w:rsid w:val="7B2632A4"/>
    <w:rsid w:val="7B8C5B16"/>
    <w:rsid w:val="7B902188"/>
    <w:rsid w:val="7BB65DCF"/>
    <w:rsid w:val="7C4411C4"/>
    <w:rsid w:val="7C9932BE"/>
    <w:rsid w:val="7CCA3310"/>
    <w:rsid w:val="7DCB1FD7"/>
    <w:rsid w:val="7E275BA5"/>
    <w:rsid w:val="7F5A3372"/>
    <w:rsid w:val="7FAE7577"/>
    <w:rsid w:val="A6CB14B9"/>
    <w:rsid w:val="DF7DA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2"/>
    <w:basedOn w:val="2"/>
    <w:qFormat/>
    <w:uiPriority w:val="99"/>
    <w:pPr>
      <w:ind w:firstLine="420" w:firstLineChars="20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2024-01-04T08:19:00Z</dcterms:created>
  <dc:creator>ilovezzxxll</dc:creator>
  <cp:lastModifiedBy>user</cp:lastModifiedBy>
  <cp:lastPrinted>2024-01-26T09:52:00Z</cp:lastPrinted>
  <dcterms:modified xsi:type="dcterms:W3CDTF">2024-03-18T11:25:24Z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B6FD381A524B458DBF9381BC4C173E34_11</vt:lpwstr>
  </property>
</Properties>
</file>