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E769D">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r>
        <w:rPr>
          <w:rFonts w:hint="eastAsia" w:ascii="方正小标宋_GBK" w:hAnsi="Arial" w:eastAsia="方正小标宋_GBK" w:cs="Arial"/>
          <w:sz w:val="24"/>
          <w:szCs w:val="24"/>
        </w:rPr>
        <w:t>林业有害生物防治体系建设项目支出</w:t>
      </w:r>
    </w:p>
    <w:p w14:paraId="0B1ACA6E">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bookmarkStart w:id="0" w:name="_GoBack"/>
      <w:bookmarkEnd w:id="0"/>
      <w:r>
        <w:rPr>
          <w:rFonts w:hint="eastAsia" w:ascii="方正小标宋_GBK" w:hAnsi="Arial" w:eastAsia="方正小标宋_GBK" w:cs="Arial"/>
          <w:sz w:val="24"/>
          <w:szCs w:val="24"/>
        </w:rPr>
        <w:t>绩效评价报告</w:t>
      </w:r>
    </w:p>
    <w:p w14:paraId="711B44EB">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74E0F9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jc w:val="both"/>
        <w:textAlignment w:val="auto"/>
        <w:rPr>
          <w:rFonts w:ascii="黑体" w:hAnsi="黑体" w:eastAsia="黑体" w:cs="黑体"/>
          <w:sz w:val="24"/>
          <w:szCs w:val="24"/>
        </w:rPr>
      </w:pPr>
      <w:r>
        <w:rPr>
          <w:rFonts w:hint="eastAsia" w:ascii="黑体" w:hAnsi="黑体" w:eastAsia="黑体" w:cs="黑体"/>
          <w:sz w:val="24"/>
          <w:szCs w:val="24"/>
        </w:rPr>
        <w:t>一、项目基本情况</w:t>
      </w:r>
    </w:p>
    <w:p w14:paraId="462E7B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jc w:val="both"/>
        <w:textAlignment w:val="auto"/>
        <w:outlineLvl w:val="0"/>
        <w:rPr>
          <w:rFonts w:hint="eastAsia" w:ascii="仿宋_GB2312" w:hAnsi="仿宋_GB2312" w:cs="仿宋_GB2312"/>
          <w:b/>
          <w:bCs/>
          <w:sz w:val="24"/>
          <w:szCs w:val="24"/>
        </w:rPr>
      </w:pPr>
      <w:r>
        <w:rPr>
          <w:rFonts w:hint="eastAsia" w:ascii="仿宋_GB2312" w:hAnsi="仿宋_GB2312" w:cs="仿宋_GB2312"/>
          <w:b/>
          <w:bCs/>
          <w:sz w:val="24"/>
          <w:szCs w:val="24"/>
        </w:rPr>
        <w:t>（一）项目概况。</w:t>
      </w:r>
    </w:p>
    <w:p w14:paraId="06FF63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rPr>
      </w:pPr>
      <w:r>
        <w:rPr>
          <w:rFonts w:hint="eastAsia" w:ascii="Times New Roman" w:hAnsi="Times New Roman" w:cs="Times New Roman"/>
          <w:sz w:val="24"/>
          <w:szCs w:val="24"/>
        </w:rPr>
        <w:t>多年来，由于我市造林面积迅速扩大，森林资源迅速增加，林业有害生物的发生也呈上升趋势，特别是外来有害生物美国白蛾自2012年传入我市以后，经过多年积累、蔓延扩散危害，严重威胁我市林业生态安全。我市围绕“全面监测、及时预警、准确预报、精准实施”的总要求，聘请了30名林业有害生物兼职测报员</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采购诱捕器100个</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全面开展林业有害生物监测及防治工作；草履蚧主要采用缠胶带阻隔防治</w:t>
      </w:r>
      <w:r>
        <w:rPr>
          <w:rFonts w:hint="eastAsia" w:ascii="Times New Roman" w:hAnsi="Times New Roman" w:cs="Times New Roman"/>
          <w:sz w:val="24"/>
          <w:szCs w:val="24"/>
          <w:lang w:val="en-US" w:eastAsia="zh-CN"/>
        </w:rPr>
        <w:t>4000亩</w:t>
      </w:r>
      <w:r>
        <w:rPr>
          <w:rFonts w:hint="eastAsia" w:ascii="Times New Roman" w:hAnsi="Times New Roman" w:cs="Times New Roman"/>
          <w:sz w:val="24"/>
          <w:szCs w:val="24"/>
        </w:rPr>
        <w:t>，并采用化学防治方法清除树下若虫；美国白蛾及杨扇舟蛾类害虫主要采取飞机施药</w:t>
      </w:r>
      <w:r>
        <w:rPr>
          <w:rFonts w:hint="eastAsia" w:ascii="Times New Roman" w:hAnsi="Times New Roman" w:cs="Times New Roman"/>
          <w:sz w:val="24"/>
          <w:szCs w:val="24"/>
          <w:lang w:eastAsia="zh-CN"/>
        </w:rPr>
        <w:t>和地面防治相结合的方式开展防治</w:t>
      </w:r>
      <w:r>
        <w:rPr>
          <w:rFonts w:hint="eastAsia" w:ascii="Times New Roman" w:hAnsi="Times New Roman" w:cs="Times New Roman"/>
          <w:sz w:val="24"/>
          <w:szCs w:val="24"/>
        </w:rPr>
        <w:t>；天牛类害虫主要采取清理枯死木防治，</w:t>
      </w:r>
      <w:r>
        <w:rPr>
          <w:rFonts w:hint="eastAsia" w:ascii="Times New Roman" w:hAnsi="Times New Roman" w:cs="Times New Roman"/>
          <w:sz w:val="24"/>
          <w:szCs w:val="24"/>
          <w:lang w:val="en-US" w:eastAsia="zh-CN"/>
        </w:rPr>
        <w:t>2023年</w:t>
      </w:r>
      <w:r>
        <w:rPr>
          <w:rFonts w:hint="eastAsia" w:ascii="Times New Roman" w:hAnsi="Times New Roman" w:cs="Times New Roman"/>
          <w:sz w:val="24"/>
          <w:szCs w:val="24"/>
        </w:rPr>
        <w:t>清理枯死木1万亩</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实现了有虫不成灾的目标，较好地完成了省下达的林业有害生物防治目标绩效评价指标。</w:t>
      </w:r>
    </w:p>
    <w:p w14:paraId="601FD5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仿宋_GB2312" w:hAnsi="仿宋_GB2312" w:cs="仿宋_GB2312"/>
          <w:b/>
          <w:bCs/>
          <w:sz w:val="24"/>
          <w:szCs w:val="24"/>
        </w:rPr>
      </w:pPr>
      <w:r>
        <w:rPr>
          <w:rFonts w:hint="eastAsia" w:ascii="仿宋_GB2312" w:hAnsi="仿宋_GB2312" w:cs="仿宋_GB2312"/>
          <w:b/>
          <w:bCs/>
          <w:sz w:val="24"/>
          <w:szCs w:val="24"/>
          <w:lang w:eastAsia="zh-CN"/>
        </w:rPr>
        <w:t>（二）</w:t>
      </w:r>
      <w:r>
        <w:rPr>
          <w:rFonts w:hint="eastAsia" w:ascii="仿宋_GB2312" w:hAnsi="仿宋_GB2312" w:cs="仿宋_GB2312"/>
          <w:b/>
          <w:bCs/>
          <w:sz w:val="24"/>
          <w:szCs w:val="24"/>
        </w:rPr>
        <w:t>项目绩效目标。包括总体目标和阶段性目标。</w:t>
      </w:r>
    </w:p>
    <w:p w14:paraId="7E2594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rPr>
      </w:pPr>
      <w:r>
        <w:rPr>
          <w:rFonts w:hint="eastAsia" w:ascii="Times New Roman" w:hAnsi="Times New Roman" w:cs="Times New Roman"/>
          <w:sz w:val="24"/>
          <w:szCs w:val="24"/>
        </w:rPr>
        <w:t>202</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年度淮北市林业有害生物防治体系建设工作主要以防控美国白蛾为主，兼防其他害虫</w:t>
      </w:r>
      <w:r>
        <w:rPr>
          <w:rFonts w:hint="eastAsia" w:ascii="Times New Roman" w:hAnsi="Times New Roman" w:cs="Times New Roman"/>
          <w:sz w:val="24"/>
          <w:szCs w:val="24"/>
          <w:lang w:eastAsia="zh-CN"/>
        </w:rPr>
        <w:t>，主要目标有：</w:t>
      </w:r>
      <w:r>
        <w:rPr>
          <w:rFonts w:hint="eastAsia" w:ascii="Times New Roman" w:hAnsi="Times New Roman" w:cs="Times New Roman"/>
          <w:sz w:val="24"/>
          <w:szCs w:val="24"/>
        </w:rPr>
        <w:t>淮北市开展地面防治林业有害生物（以美国白蛾和杨树食叶害虫为主）</w:t>
      </w:r>
      <w:r>
        <w:rPr>
          <w:rFonts w:hint="eastAsia" w:ascii="Times New Roman" w:hAnsi="Times New Roman" w:cs="Times New Roman"/>
          <w:sz w:val="24"/>
          <w:szCs w:val="24"/>
          <w:lang w:eastAsia="zh-CN"/>
        </w:rPr>
        <w:t>项目</w:t>
      </w:r>
      <w:r>
        <w:rPr>
          <w:rFonts w:hint="eastAsia" w:ascii="Times New Roman" w:hAnsi="Times New Roman" w:cs="Times New Roman"/>
          <w:sz w:val="24"/>
          <w:szCs w:val="24"/>
        </w:rPr>
        <w:t>，计划作业面积约3000公里（市辖区飞机防治避让的区域）；清理东部山场侧柏枯死木1万亩；防治草履蚧</w:t>
      </w:r>
      <w:r>
        <w:rPr>
          <w:rFonts w:hint="eastAsia" w:ascii="Times New Roman" w:hAnsi="Times New Roman" w:cs="Times New Roman"/>
          <w:sz w:val="24"/>
          <w:szCs w:val="24"/>
          <w:lang w:val="en-US" w:eastAsia="zh-CN"/>
        </w:rPr>
        <w:t>4</w:t>
      </w:r>
      <w:r>
        <w:rPr>
          <w:rFonts w:hint="eastAsia" w:ascii="Times New Roman" w:hAnsi="Times New Roman" w:cs="Times New Roman"/>
          <w:sz w:val="24"/>
          <w:szCs w:val="24"/>
        </w:rPr>
        <w:t>000亩</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林业有害生物成灾率指标≤2.83‰。</w:t>
      </w:r>
    </w:p>
    <w:p w14:paraId="3AD15F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jc w:val="both"/>
        <w:textAlignment w:val="auto"/>
        <w:rPr>
          <w:rFonts w:ascii="黑体" w:hAnsi="黑体" w:eastAsia="黑体" w:cs="黑体"/>
          <w:sz w:val="24"/>
          <w:szCs w:val="24"/>
        </w:rPr>
      </w:pPr>
      <w:r>
        <w:rPr>
          <w:rFonts w:hint="eastAsia" w:ascii="黑体" w:hAnsi="黑体" w:eastAsia="黑体" w:cs="黑体"/>
          <w:sz w:val="24"/>
          <w:szCs w:val="24"/>
        </w:rPr>
        <w:t>二、绩效评价工作开展情况</w:t>
      </w:r>
    </w:p>
    <w:p w14:paraId="24D2A0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jc w:val="both"/>
        <w:textAlignment w:val="auto"/>
        <w:rPr>
          <w:rFonts w:hint="eastAsia" w:ascii="仿宋_GB2312" w:hAnsi="仿宋_GB2312" w:cs="仿宋_GB2312"/>
          <w:b/>
          <w:bCs/>
          <w:sz w:val="24"/>
          <w:szCs w:val="24"/>
        </w:rPr>
      </w:pPr>
      <w:r>
        <w:rPr>
          <w:rFonts w:hint="eastAsia" w:ascii="仿宋_GB2312" w:hAnsi="仿宋_GB2312" w:cs="仿宋_GB2312"/>
          <w:b/>
          <w:bCs/>
          <w:sz w:val="24"/>
          <w:szCs w:val="24"/>
        </w:rPr>
        <w:t>（一）绩效评价目的、对象和范围。</w:t>
      </w:r>
    </w:p>
    <w:p w14:paraId="564E95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rPr>
      </w:pPr>
      <w:r>
        <w:rPr>
          <w:rFonts w:hint="eastAsia" w:ascii="Times New Roman" w:hAnsi="Times New Roman" w:cs="Times New Roman"/>
          <w:sz w:val="24"/>
          <w:szCs w:val="24"/>
          <w:lang w:eastAsia="zh-CN"/>
        </w:rPr>
        <w:t>通过对淮北市林业有害生物防治体系建设的绩效评价，达到考核林业有害生物防治项目的实施进展、资金使用、社会经济及生态效益等情况的目的，以促进管理好、落实好林业有害生物防治项目，提高财政资金的使用效益，为下一期的绩效指标完成做准备。</w:t>
      </w:r>
    </w:p>
    <w:p w14:paraId="733289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仿宋_GB2312" w:hAnsi="仿宋_GB2312" w:cs="仿宋_GB2312"/>
          <w:b/>
          <w:bCs/>
          <w:sz w:val="24"/>
          <w:szCs w:val="24"/>
        </w:rPr>
      </w:pPr>
      <w:r>
        <w:rPr>
          <w:rFonts w:hint="eastAsia" w:ascii="仿宋_GB2312" w:hAnsi="仿宋_GB2312" w:cs="仿宋_GB2312"/>
          <w:b/>
          <w:bCs/>
          <w:sz w:val="24"/>
          <w:szCs w:val="24"/>
          <w:lang w:eastAsia="zh-CN"/>
        </w:rPr>
        <w:t>（二）</w:t>
      </w:r>
      <w:r>
        <w:rPr>
          <w:rFonts w:hint="eastAsia" w:ascii="仿宋_GB2312" w:hAnsi="仿宋_GB2312" w:cs="仿宋_GB2312"/>
          <w:b/>
          <w:bCs/>
          <w:sz w:val="24"/>
          <w:szCs w:val="24"/>
        </w:rPr>
        <w:t>绩效评价原则、评价指标体系（附表说明）、评价方法、评价标准等。</w:t>
      </w:r>
    </w:p>
    <w:p w14:paraId="5BC55B6E">
      <w:pPr>
        <w:spacing w:line="500" w:lineRule="exact"/>
        <w:jc w:val="center"/>
        <w:rPr>
          <w:rFonts w:ascii="仿宋" w:hAnsi="仿宋" w:eastAsia="仿宋" w:cs="Times New Roman"/>
          <w:b/>
          <w:bCs/>
          <w:color w:val="000000"/>
          <w:sz w:val="24"/>
          <w:szCs w:val="24"/>
        </w:rPr>
      </w:pPr>
      <w:r>
        <w:rPr>
          <w:rFonts w:hint="eastAsia" w:ascii="仿宋" w:hAnsi="仿宋" w:eastAsia="仿宋" w:cs="Times New Roman"/>
          <w:b/>
          <w:bCs/>
          <w:color w:val="000000"/>
          <w:sz w:val="24"/>
          <w:szCs w:val="24"/>
        </w:rPr>
        <w:t>淮北市财政支出绩效评价指标体系解释及评价标准</w:t>
      </w:r>
    </w:p>
    <w:tbl>
      <w:tblPr>
        <w:tblStyle w:val="4"/>
        <w:tblW w:w="9111" w:type="dxa"/>
        <w:jc w:val="center"/>
        <w:tblLayout w:type="fixed"/>
        <w:tblCellMar>
          <w:top w:w="0" w:type="dxa"/>
          <w:left w:w="108" w:type="dxa"/>
          <w:bottom w:w="0" w:type="dxa"/>
          <w:right w:w="108" w:type="dxa"/>
        </w:tblCellMar>
      </w:tblPr>
      <w:tblGrid>
        <w:gridCol w:w="606"/>
        <w:gridCol w:w="575"/>
        <w:gridCol w:w="606"/>
        <w:gridCol w:w="561"/>
        <w:gridCol w:w="822"/>
        <w:gridCol w:w="561"/>
        <w:gridCol w:w="2698"/>
        <w:gridCol w:w="2682"/>
      </w:tblGrid>
      <w:tr w14:paraId="7D85803D">
        <w:tblPrEx>
          <w:tblCellMar>
            <w:top w:w="0" w:type="dxa"/>
            <w:left w:w="108" w:type="dxa"/>
            <w:bottom w:w="0" w:type="dxa"/>
            <w:right w:w="108" w:type="dxa"/>
          </w:tblCellMar>
        </w:tblPrEx>
        <w:trPr>
          <w:trHeight w:val="1075" w:hRule="exac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14:paraId="13A52D82">
            <w:pPr>
              <w:spacing w:line="200" w:lineRule="exact"/>
              <w:jc w:val="center"/>
              <w:rPr>
                <w:rFonts w:eastAsia="黑体" w:cs="Times New Roman"/>
                <w:color w:val="000000"/>
                <w:kern w:val="0"/>
                <w:sz w:val="24"/>
                <w:szCs w:val="24"/>
              </w:rPr>
            </w:pPr>
            <w:r>
              <w:rPr>
                <w:rFonts w:hint="eastAsia" w:eastAsia="黑体" w:cs="黑体"/>
                <w:color w:val="000000"/>
                <w:kern w:val="0"/>
                <w:sz w:val="24"/>
                <w:szCs w:val="24"/>
              </w:rPr>
              <w:t>一级指标</w:t>
            </w:r>
          </w:p>
        </w:tc>
        <w:tc>
          <w:tcPr>
            <w:tcW w:w="575" w:type="dxa"/>
            <w:tcBorders>
              <w:top w:val="single" w:color="auto" w:sz="4" w:space="0"/>
              <w:left w:val="nil"/>
              <w:bottom w:val="single" w:color="auto" w:sz="4" w:space="0"/>
              <w:right w:val="single" w:color="auto" w:sz="4" w:space="0"/>
            </w:tcBorders>
            <w:noWrap w:val="0"/>
            <w:vAlign w:val="center"/>
          </w:tcPr>
          <w:p w14:paraId="553AA91A">
            <w:pPr>
              <w:spacing w:line="200" w:lineRule="exact"/>
              <w:rPr>
                <w:rFonts w:eastAsia="黑体" w:cs="Times New Roman"/>
                <w:color w:val="000000"/>
                <w:kern w:val="0"/>
                <w:sz w:val="24"/>
                <w:szCs w:val="24"/>
              </w:rPr>
            </w:pPr>
          </w:p>
          <w:p w14:paraId="0D1F1D3D">
            <w:pPr>
              <w:spacing w:line="200" w:lineRule="exact"/>
              <w:rPr>
                <w:rFonts w:eastAsia="黑体" w:cs="Times New Roman"/>
                <w:color w:val="000000"/>
                <w:kern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285750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75pt;margin-top:22.5pt;height:0pt;width:0.05pt;z-index:251659264;mso-width-relative:page;mso-height-relative:page;" coordsize="21600,21600" o:gfxdata="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mMf43VAAAABwEAAA8AAAAAAAAAAQAgAAAAIgAAAGRycy9kb3ducmV2LnhtbFBLAQIUABQAAAAI&#10;AIdO4kBpliDt8AEAAOADAAAOAAAAAAAAAAEAIAAAACQBAABkcnMvZTJvRG9jLnhtbFBLBQYAAAAA&#10;BgAGAFkBAACGBQAAAAA=&#10;">
                      <v:path arrowok="t"/>
                      <v:fill focussize="0,0"/>
                      <v:stroke/>
                      <v:imagedata o:title=""/>
                      <o:lock v:ext="edit"/>
                    </v:lin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276225</wp:posOffset>
                      </wp:positionH>
                      <wp:positionV relativeFrom="paragraph">
                        <wp:posOffset>285750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75pt;margin-top:22.5pt;height:0pt;width:0.05pt;z-index:251660288;mso-width-relative:page;mso-height-relative:page;" coordsize="21600,21600" o:gfxdata="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Yx/jdUAAAAHAQAADwAAAAAAAAABACAAAAAiAAAAZHJzL2Rvd25yZXYueG1sUEsBAhQAFAAAAAgA&#10;h07iQKkqZPvvAQAA4AMAAA4AAAAAAAAAAQAgAAAAJAEAAGRycy9lMm9Eb2MueG1sUEsFBgAAAAAG&#10;AAYAWQEAAIUFAAAAAA==&#10;">
                      <v:path arrowok="t"/>
                      <v:fill focussize="0,0"/>
                      <v:stroke/>
                      <v:imagedata o:title=""/>
                      <o:lock v:ext="edit"/>
                    </v:line>
                  </w:pict>
                </mc:Fallback>
              </mc:AlternateContent>
            </w:r>
            <w:r>
              <w:rPr>
                <w:sz w:val="24"/>
                <w:szCs w:val="24"/>
              </w:rPr>
              <mc:AlternateContent>
                <mc:Choice Requires="wps">
                  <w:drawing>
                    <wp:anchor distT="0" distB="0" distL="114300" distR="114300" simplePos="0" relativeHeight="251661312" behindDoc="0" locked="0" layoutInCell="1" allowOverlap="1">
                      <wp:simplePos x="0" y="0"/>
                      <wp:positionH relativeFrom="column">
                        <wp:posOffset>276225</wp:posOffset>
                      </wp:positionH>
                      <wp:positionV relativeFrom="paragraph">
                        <wp:posOffset>285750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75pt;margin-top:22.5pt;height:0pt;width:0.05pt;z-index:251661312;mso-width-relative:page;mso-height-relative:page;" coordsize="21600,21600" o:gfxdata="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mMf43VAAAABwEAAA8AAAAAAAAAAQAgAAAAIgAAAGRycy9kb3ducmV2LnhtbFBLAQIUABQAAAAI&#10;AIdO4kAJyALm8AEAAOADAAAOAAAAAAAAAAEAIAAAACQBAABkcnMvZTJvRG9jLnhtbFBLBQYAAAAA&#10;BgAGAFkBAACGBQAAAAA=&#10;">
                      <v:path arrowok="t"/>
                      <v:fill focussize="0,0"/>
                      <v:stroke/>
                      <v:imagedata o:title=""/>
                      <o:lock v:ext="edit"/>
                    </v:line>
                  </w:pict>
                </mc:Fallback>
              </mc:AlternateContent>
            </w:r>
            <w:r>
              <w:rPr>
                <w:sz w:val="24"/>
                <w:szCs w:val="24"/>
              </w:rPr>
              <mc:AlternateContent>
                <mc:Choice Requires="wps">
                  <w:drawing>
                    <wp:anchor distT="0" distB="0" distL="114300" distR="114300" simplePos="0" relativeHeight="251662336" behindDoc="0" locked="0" layoutInCell="1" allowOverlap="1">
                      <wp:simplePos x="0" y="0"/>
                      <wp:positionH relativeFrom="column">
                        <wp:posOffset>276225</wp:posOffset>
                      </wp:positionH>
                      <wp:positionV relativeFrom="paragraph">
                        <wp:posOffset>285750</wp:posOffset>
                      </wp:positionV>
                      <wp:extent cx="635" cy="0"/>
                      <wp:effectExtent l="0" t="4445" r="0" b="5080"/>
                      <wp:wrapNone/>
                      <wp:docPr id="4" name="直接连接符 4"/>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75pt;margin-top:22.5pt;height:0pt;width:0.05pt;z-index:251662336;mso-width-relative:page;mso-height-relative:page;" coordsize="21600,21600" o:gfxdata="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jH+N1QAAAAcBAAAPAAAAAAAAAAEAIAAAACIAAABkcnMvZG93bnJldi54bWxQSwECFAAUAAAA&#10;CACHTuJASQ3P3PEBAADgAwAADgAAAAAAAAABACAAAAAkAQAAZHJzL2Uyb0RvYy54bWxQSwUGAAAA&#10;AAYABgBZAQAAhwUAAAAA&#10;">
                      <v:path arrowok="t"/>
                      <v:fill focussize="0,0"/>
                      <v:stroke/>
                      <v:imagedata o:title=""/>
                      <o:lock v:ext="edit"/>
                    </v:line>
                  </w:pict>
                </mc:Fallback>
              </mc:AlternateContent>
            </w:r>
            <w:r>
              <w:rPr>
                <w:rFonts w:hint="eastAsia" w:eastAsia="黑体" w:cs="Times New Roman"/>
                <w:color w:val="000000"/>
                <w:kern w:val="0"/>
                <w:sz w:val="24"/>
                <w:szCs w:val="24"/>
              </w:rPr>
              <w:t>分值</w:t>
            </w:r>
          </w:p>
        </w:tc>
        <w:tc>
          <w:tcPr>
            <w:tcW w:w="606" w:type="dxa"/>
            <w:tcBorders>
              <w:top w:val="single" w:color="auto" w:sz="4" w:space="0"/>
              <w:left w:val="single" w:color="auto" w:sz="4" w:space="0"/>
              <w:bottom w:val="single" w:color="auto" w:sz="4" w:space="0"/>
              <w:right w:val="single" w:color="auto" w:sz="4" w:space="0"/>
            </w:tcBorders>
            <w:noWrap w:val="0"/>
            <w:vAlign w:val="center"/>
          </w:tcPr>
          <w:p w14:paraId="16B42CE1">
            <w:pPr>
              <w:spacing w:line="200" w:lineRule="exact"/>
              <w:jc w:val="center"/>
              <w:rPr>
                <w:rFonts w:eastAsia="黑体" w:cs="Times New Roman"/>
                <w:color w:val="000000"/>
                <w:kern w:val="0"/>
                <w:sz w:val="24"/>
                <w:szCs w:val="24"/>
              </w:rPr>
            </w:pPr>
            <w:r>
              <w:rPr>
                <w:rFonts w:hint="eastAsia" w:eastAsia="黑体" w:cs="黑体"/>
                <w:color w:val="000000"/>
                <w:kern w:val="0"/>
                <w:sz w:val="24"/>
                <w:szCs w:val="24"/>
              </w:rPr>
              <w:t>二级指标</w:t>
            </w:r>
          </w:p>
        </w:tc>
        <w:tc>
          <w:tcPr>
            <w:tcW w:w="561" w:type="dxa"/>
            <w:tcBorders>
              <w:top w:val="single" w:color="auto" w:sz="4" w:space="0"/>
              <w:left w:val="nil"/>
              <w:bottom w:val="single" w:color="auto" w:sz="4" w:space="0"/>
              <w:right w:val="single" w:color="auto" w:sz="4" w:space="0"/>
            </w:tcBorders>
            <w:noWrap w:val="0"/>
            <w:vAlign w:val="center"/>
          </w:tcPr>
          <w:p w14:paraId="34C825E9">
            <w:pPr>
              <w:spacing w:line="200" w:lineRule="exact"/>
              <w:jc w:val="center"/>
              <w:rPr>
                <w:rFonts w:eastAsia="黑体" w:cs="Times New Roman"/>
                <w:color w:val="000000"/>
                <w:kern w:val="0"/>
                <w:sz w:val="24"/>
                <w:szCs w:val="24"/>
              </w:rPr>
            </w:pPr>
            <w:r>
              <w:rPr>
                <w:rFonts w:hint="eastAsia" w:eastAsia="黑体" w:cs="黑体"/>
                <w:color w:val="000000"/>
                <w:kern w:val="0"/>
                <w:sz w:val="24"/>
                <w:szCs w:val="24"/>
              </w:rPr>
              <w:t>分值</w:t>
            </w:r>
          </w:p>
        </w:tc>
        <w:tc>
          <w:tcPr>
            <w:tcW w:w="822" w:type="dxa"/>
            <w:tcBorders>
              <w:top w:val="single" w:color="auto" w:sz="4" w:space="0"/>
              <w:left w:val="nil"/>
              <w:bottom w:val="single" w:color="auto" w:sz="4" w:space="0"/>
              <w:right w:val="single" w:color="auto" w:sz="4" w:space="0"/>
            </w:tcBorders>
            <w:noWrap w:val="0"/>
            <w:vAlign w:val="center"/>
          </w:tcPr>
          <w:p w14:paraId="5188A06B">
            <w:pPr>
              <w:spacing w:line="200" w:lineRule="exact"/>
              <w:jc w:val="center"/>
              <w:rPr>
                <w:rFonts w:eastAsia="黑体" w:cs="Times New Roman"/>
                <w:color w:val="000000"/>
                <w:kern w:val="0"/>
                <w:sz w:val="24"/>
                <w:szCs w:val="24"/>
              </w:rPr>
            </w:pPr>
            <w:r>
              <w:rPr>
                <w:rFonts w:hint="eastAsia" w:eastAsia="黑体" w:cs="黑体"/>
                <w:color w:val="000000"/>
                <w:kern w:val="0"/>
                <w:sz w:val="24"/>
                <w:szCs w:val="24"/>
              </w:rPr>
              <w:t>三级</w:t>
            </w:r>
          </w:p>
          <w:p w14:paraId="5A0AD221">
            <w:pPr>
              <w:spacing w:line="200" w:lineRule="exact"/>
              <w:jc w:val="center"/>
              <w:rPr>
                <w:rFonts w:eastAsia="黑体" w:cs="Times New Roman"/>
                <w:color w:val="000000"/>
                <w:kern w:val="0"/>
                <w:sz w:val="24"/>
                <w:szCs w:val="24"/>
              </w:rPr>
            </w:pPr>
            <w:r>
              <w:rPr>
                <w:rFonts w:hint="eastAsia" w:eastAsia="黑体" w:cs="黑体"/>
                <w:color w:val="000000"/>
                <w:kern w:val="0"/>
                <w:sz w:val="24"/>
                <w:szCs w:val="24"/>
              </w:rPr>
              <w:t>指标</w:t>
            </w:r>
          </w:p>
        </w:tc>
        <w:tc>
          <w:tcPr>
            <w:tcW w:w="561" w:type="dxa"/>
            <w:tcBorders>
              <w:top w:val="single" w:color="auto" w:sz="4" w:space="0"/>
              <w:left w:val="nil"/>
              <w:bottom w:val="single" w:color="auto" w:sz="4" w:space="0"/>
              <w:right w:val="single" w:color="auto" w:sz="4" w:space="0"/>
            </w:tcBorders>
            <w:noWrap w:val="0"/>
            <w:vAlign w:val="center"/>
          </w:tcPr>
          <w:p w14:paraId="1AABB6D6">
            <w:pPr>
              <w:spacing w:line="200" w:lineRule="exact"/>
              <w:jc w:val="center"/>
              <w:rPr>
                <w:rFonts w:eastAsia="黑体" w:cs="Times New Roman"/>
                <w:color w:val="000000"/>
                <w:kern w:val="0"/>
                <w:sz w:val="24"/>
                <w:szCs w:val="24"/>
              </w:rPr>
            </w:pPr>
            <w:r>
              <w:rPr>
                <w:rFonts w:hint="eastAsia" w:eastAsia="黑体" w:cs="黑体"/>
                <w:color w:val="000000"/>
                <w:kern w:val="0"/>
                <w:sz w:val="24"/>
                <w:szCs w:val="24"/>
              </w:rPr>
              <w:t>分值</w:t>
            </w:r>
          </w:p>
        </w:tc>
        <w:tc>
          <w:tcPr>
            <w:tcW w:w="2698" w:type="dxa"/>
            <w:tcBorders>
              <w:top w:val="single" w:color="auto" w:sz="4" w:space="0"/>
              <w:left w:val="nil"/>
              <w:bottom w:val="single" w:color="auto" w:sz="4" w:space="0"/>
              <w:right w:val="single" w:color="auto" w:sz="4" w:space="0"/>
            </w:tcBorders>
            <w:noWrap w:val="0"/>
            <w:vAlign w:val="center"/>
          </w:tcPr>
          <w:p w14:paraId="1939A73D">
            <w:pPr>
              <w:spacing w:line="200" w:lineRule="exact"/>
              <w:jc w:val="center"/>
              <w:rPr>
                <w:rFonts w:eastAsia="黑体" w:cs="Times New Roman"/>
                <w:color w:val="000000"/>
                <w:kern w:val="0"/>
                <w:sz w:val="24"/>
                <w:szCs w:val="24"/>
              </w:rPr>
            </w:pPr>
            <w:r>
              <w:rPr>
                <w:rFonts w:hint="eastAsia" w:eastAsia="黑体" w:cs="黑体"/>
                <w:color w:val="000000"/>
                <w:kern w:val="0"/>
                <w:sz w:val="24"/>
                <w:szCs w:val="24"/>
              </w:rPr>
              <w:t>指标解释</w:t>
            </w:r>
          </w:p>
        </w:tc>
        <w:tc>
          <w:tcPr>
            <w:tcW w:w="2682" w:type="dxa"/>
            <w:tcBorders>
              <w:top w:val="single" w:color="auto" w:sz="4" w:space="0"/>
              <w:left w:val="nil"/>
              <w:bottom w:val="single" w:color="auto" w:sz="4" w:space="0"/>
              <w:right w:val="single" w:color="auto" w:sz="4" w:space="0"/>
            </w:tcBorders>
            <w:noWrap w:val="0"/>
            <w:vAlign w:val="center"/>
          </w:tcPr>
          <w:p w14:paraId="48AACDBD">
            <w:pPr>
              <w:spacing w:line="200" w:lineRule="exact"/>
              <w:jc w:val="center"/>
              <w:rPr>
                <w:rFonts w:eastAsia="黑体" w:cs="Times New Roman"/>
                <w:color w:val="000000"/>
                <w:kern w:val="0"/>
                <w:sz w:val="24"/>
                <w:szCs w:val="24"/>
              </w:rPr>
            </w:pPr>
            <w:r>
              <w:rPr>
                <w:rFonts w:hint="eastAsia" w:eastAsia="黑体" w:cs="黑体"/>
                <w:color w:val="000000"/>
                <w:kern w:val="0"/>
                <w:sz w:val="24"/>
                <w:szCs w:val="24"/>
              </w:rPr>
              <w:t>评价标准</w:t>
            </w:r>
          </w:p>
        </w:tc>
      </w:tr>
      <w:tr w14:paraId="5D9E5B96">
        <w:tblPrEx>
          <w:tblCellMar>
            <w:top w:w="0" w:type="dxa"/>
            <w:left w:w="108" w:type="dxa"/>
            <w:bottom w:w="0" w:type="dxa"/>
            <w:right w:w="108" w:type="dxa"/>
          </w:tblCellMar>
        </w:tblPrEx>
        <w:trPr>
          <w:trHeight w:val="428" w:hRule="atLeast"/>
          <w:jc w:val="center"/>
        </w:trPr>
        <w:tc>
          <w:tcPr>
            <w:tcW w:w="606" w:type="dxa"/>
            <w:vMerge w:val="restart"/>
            <w:tcBorders>
              <w:top w:val="single" w:color="auto" w:sz="4" w:space="0"/>
              <w:left w:val="single" w:color="auto" w:sz="4" w:space="0"/>
              <w:bottom w:val="single" w:color="000000" w:sz="4" w:space="0"/>
              <w:right w:val="single" w:color="auto" w:sz="4" w:space="0"/>
            </w:tcBorders>
            <w:noWrap w:val="0"/>
            <w:vAlign w:val="center"/>
          </w:tcPr>
          <w:p w14:paraId="48EFC7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项目</w:t>
            </w:r>
          </w:p>
          <w:p w14:paraId="590E56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决策</w:t>
            </w:r>
          </w:p>
        </w:tc>
        <w:tc>
          <w:tcPr>
            <w:tcW w:w="575" w:type="dxa"/>
            <w:vMerge w:val="restart"/>
            <w:tcBorders>
              <w:top w:val="single" w:color="auto" w:sz="4" w:space="0"/>
              <w:left w:val="single" w:color="auto" w:sz="4" w:space="0"/>
              <w:bottom w:val="single" w:color="000000" w:sz="4" w:space="0"/>
              <w:right w:val="single" w:color="auto" w:sz="4" w:space="0"/>
            </w:tcBorders>
            <w:noWrap w:val="0"/>
            <w:vAlign w:val="center"/>
          </w:tcPr>
          <w:p w14:paraId="1988AE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20</w:t>
            </w:r>
          </w:p>
        </w:tc>
        <w:tc>
          <w:tcPr>
            <w:tcW w:w="606" w:type="dxa"/>
            <w:vMerge w:val="restart"/>
            <w:tcBorders>
              <w:top w:val="single" w:color="auto" w:sz="4" w:space="0"/>
              <w:left w:val="nil"/>
              <w:right w:val="single" w:color="auto" w:sz="4" w:space="0"/>
            </w:tcBorders>
            <w:noWrap w:val="0"/>
            <w:vAlign w:val="center"/>
          </w:tcPr>
          <w:p w14:paraId="1E96BE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Times New Roman"/>
                <w:color w:val="000000"/>
                <w:kern w:val="0"/>
                <w:sz w:val="24"/>
                <w:szCs w:val="24"/>
              </w:rPr>
              <w:t>项目立项</w:t>
            </w:r>
          </w:p>
        </w:tc>
        <w:tc>
          <w:tcPr>
            <w:tcW w:w="561" w:type="dxa"/>
            <w:vMerge w:val="restart"/>
            <w:tcBorders>
              <w:top w:val="single" w:color="auto" w:sz="4" w:space="0"/>
              <w:left w:val="nil"/>
              <w:right w:val="single" w:color="auto" w:sz="4" w:space="0"/>
            </w:tcBorders>
            <w:noWrap w:val="0"/>
            <w:vAlign w:val="center"/>
          </w:tcPr>
          <w:p w14:paraId="05462D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Times New Roman"/>
                <w:color w:val="000000"/>
                <w:kern w:val="0"/>
                <w:sz w:val="24"/>
                <w:szCs w:val="24"/>
              </w:rPr>
              <w:t>4</w:t>
            </w:r>
          </w:p>
        </w:tc>
        <w:tc>
          <w:tcPr>
            <w:tcW w:w="822" w:type="dxa"/>
            <w:tcBorders>
              <w:top w:val="single" w:color="auto" w:sz="4" w:space="0"/>
              <w:left w:val="nil"/>
              <w:bottom w:val="single" w:color="auto" w:sz="4" w:space="0"/>
              <w:right w:val="single" w:color="auto" w:sz="4" w:space="0"/>
            </w:tcBorders>
            <w:noWrap w:val="0"/>
            <w:vAlign w:val="center"/>
          </w:tcPr>
          <w:p w14:paraId="1BFFFF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Times New Roman"/>
                <w:color w:val="000000"/>
                <w:kern w:val="0"/>
                <w:sz w:val="24"/>
                <w:szCs w:val="24"/>
              </w:rPr>
              <w:t>立项</w:t>
            </w:r>
          </w:p>
          <w:p w14:paraId="15794A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Times New Roman"/>
                <w:color w:val="000000"/>
                <w:kern w:val="0"/>
                <w:sz w:val="24"/>
                <w:szCs w:val="24"/>
              </w:rPr>
              <w:t>充分性</w:t>
            </w:r>
          </w:p>
        </w:tc>
        <w:tc>
          <w:tcPr>
            <w:tcW w:w="561" w:type="dxa"/>
            <w:tcBorders>
              <w:top w:val="single" w:color="auto" w:sz="4" w:space="0"/>
              <w:left w:val="nil"/>
              <w:bottom w:val="single" w:color="auto" w:sz="4" w:space="0"/>
              <w:right w:val="single" w:color="auto" w:sz="4" w:space="0"/>
            </w:tcBorders>
            <w:noWrap w:val="0"/>
            <w:vAlign w:val="center"/>
          </w:tcPr>
          <w:p w14:paraId="054FBB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Times New Roman"/>
                <w:color w:val="000000"/>
                <w:kern w:val="0"/>
                <w:sz w:val="24"/>
                <w:szCs w:val="24"/>
              </w:rPr>
              <w:t>2</w:t>
            </w:r>
          </w:p>
        </w:tc>
        <w:tc>
          <w:tcPr>
            <w:tcW w:w="2698" w:type="dxa"/>
            <w:tcBorders>
              <w:top w:val="single" w:color="auto" w:sz="4" w:space="0"/>
              <w:left w:val="nil"/>
              <w:bottom w:val="single" w:color="auto" w:sz="4" w:space="0"/>
              <w:right w:val="single" w:color="auto" w:sz="4" w:space="0"/>
            </w:tcBorders>
            <w:noWrap w:val="0"/>
            <w:vAlign w:val="center"/>
          </w:tcPr>
          <w:p w14:paraId="0A9A72F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宋体"/>
                <w:color w:val="000000"/>
                <w:kern w:val="0"/>
                <w:sz w:val="24"/>
                <w:szCs w:val="24"/>
              </w:rPr>
            </w:pPr>
            <w:r>
              <w:rPr>
                <w:rFonts w:hint="eastAsia" w:cs="Times New Roman"/>
                <w:color w:val="000000"/>
                <w:kern w:val="0"/>
                <w:sz w:val="24"/>
                <w:szCs w:val="24"/>
              </w:rPr>
              <w:t>是否符合法律法规、相关</w:t>
            </w:r>
            <w:r>
              <w:rPr>
                <w:rFonts w:hint="eastAsia" w:cs="宋体"/>
                <w:color w:val="000000"/>
                <w:kern w:val="0"/>
                <w:sz w:val="24"/>
                <w:szCs w:val="24"/>
              </w:rPr>
              <w:t>政策、发展规划以及部门职责</w:t>
            </w:r>
          </w:p>
        </w:tc>
        <w:tc>
          <w:tcPr>
            <w:tcW w:w="2682" w:type="dxa"/>
            <w:tcBorders>
              <w:top w:val="single" w:color="auto" w:sz="4" w:space="0"/>
              <w:left w:val="nil"/>
              <w:bottom w:val="single" w:color="auto" w:sz="4" w:space="0"/>
              <w:right w:val="single" w:color="auto" w:sz="4" w:space="0"/>
            </w:tcBorders>
            <w:noWrap w:val="0"/>
            <w:vAlign w:val="center"/>
          </w:tcPr>
          <w:p w14:paraId="3516E0E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符合相关政策（</w:t>
            </w:r>
            <w:r>
              <w:rPr>
                <w:rFonts w:cs="Times New Roman"/>
                <w:color w:val="000000"/>
                <w:kern w:val="0"/>
                <w:sz w:val="24"/>
                <w:szCs w:val="24"/>
              </w:rPr>
              <w:t>1</w:t>
            </w:r>
            <w:r>
              <w:rPr>
                <w:rFonts w:hint="eastAsia" w:cs="宋体"/>
                <w:color w:val="000000"/>
                <w:kern w:val="0"/>
                <w:sz w:val="24"/>
                <w:szCs w:val="24"/>
              </w:rPr>
              <w:t>分），依据部门职责及发展规划（</w:t>
            </w:r>
            <w:r>
              <w:rPr>
                <w:rFonts w:hint="eastAsia" w:cs="Times New Roman"/>
                <w:color w:val="000000"/>
                <w:kern w:val="0"/>
                <w:sz w:val="24"/>
                <w:szCs w:val="24"/>
              </w:rPr>
              <w:t>1</w:t>
            </w:r>
            <w:r>
              <w:rPr>
                <w:rFonts w:hint="eastAsia" w:cs="宋体"/>
                <w:color w:val="000000"/>
                <w:kern w:val="0"/>
                <w:sz w:val="24"/>
                <w:szCs w:val="24"/>
              </w:rPr>
              <w:t>分）</w:t>
            </w:r>
          </w:p>
        </w:tc>
      </w:tr>
      <w:tr w14:paraId="2D1A074B">
        <w:tblPrEx>
          <w:tblCellMar>
            <w:top w:w="0" w:type="dxa"/>
            <w:left w:w="108" w:type="dxa"/>
            <w:bottom w:w="0" w:type="dxa"/>
            <w:right w:w="108" w:type="dxa"/>
          </w:tblCellMar>
        </w:tblPrEx>
        <w:trPr>
          <w:trHeight w:val="90" w:hRule="atLeast"/>
          <w:jc w:val="center"/>
        </w:trPr>
        <w:tc>
          <w:tcPr>
            <w:tcW w:w="606" w:type="dxa"/>
            <w:vMerge w:val="continue"/>
            <w:tcBorders>
              <w:left w:val="single" w:color="auto" w:sz="4" w:space="0"/>
              <w:right w:val="single" w:color="auto" w:sz="4" w:space="0"/>
            </w:tcBorders>
            <w:noWrap w:val="0"/>
            <w:vAlign w:val="center"/>
          </w:tcPr>
          <w:p w14:paraId="1EF85E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宋体"/>
                <w:color w:val="000000"/>
                <w:kern w:val="0"/>
                <w:sz w:val="24"/>
                <w:szCs w:val="24"/>
              </w:rPr>
            </w:pPr>
          </w:p>
        </w:tc>
        <w:tc>
          <w:tcPr>
            <w:tcW w:w="575" w:type="dxa"/>
            <w:vMerge w:val="continue"/>
            <w:tcBorders>
              <w:left w:val="single" w:color="auto" w:sz="4" w:space="0"/>
              <w:right w:val="single" w:color="auto" w:sz="4" w:space="0"/>
            </w:tcBorders>
            <w:noWrap w:val="0"/>
            <w:vAlign w:val="center"/>
          </w:tcPr>
          <w:p w14:paraId="09CE59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p>
        </w:tc>
        <w:tc>
          <w:tcPr>
            <w:tcW w:w="606" w:type="dxa"/>
            <w:vMerge w:val="continue"/>
            <w:tcBorders>
              <w:left w:val="nil"/>
              <w:bottom w:val="nil"/>
              <w:right w:val="single" w:color="auto" w:sz="4" w:space="0"/>
            </w:tcBorders>
            <w:noWrap w:val="0"/>
            <w:vAlign w:val="center"/>
          </w:tcPr>
          <w:p w14:paraId="336C05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宋体"/>
                <w:color w:val="000000"/>
                <w:kern w:val="0"/>
                <w:sz w:val="24"/>
                <w:szCs w:val="24"/>
              </w:rPr>
            </w:pPr>
          </w:p>
        </w:tc>
        <w:tc>
          <w:tcPr>
            <w:tcW w:w="561" w:type="dxa"/>
            <w:vMerge w:val="continue"/>
            <w:tcBorders>
              <w:left w:val="nil"/>
              <w:bottom w:val="nil"/>
              <w:right w:val="single" w:color="auto" w:sz="4" w:space="0"/>
            </w:tcBorders>
            <w:noWrap w:val="0"/>
            <w:vAlign w:val="center"/>
          </w:tcPr>
          <w:p w14:paraId="58B0A3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p>
        </w:tc>
        <w:tc>
          <w:tcPr>
            <w:tcW w:w="822" w:type="dxa"/>
            <w:tcBorders>
              <w:top w:val="single" w:color="auto" w:sz="4" w:space="0"/>
              <w:left w:val="nil"/>
              <w:bottom w:val="single" w:color="auto" w:sz="4" w:space="0"/>
              <w:right w:val="single" w:color="auto" w:sz="4" w:space="0"/>
            </w:tcBorders>
            <w:noWrap w:val="0"/>
            <w:vAlign w:val="center"/>
          </w:tcPr>
          <w:p w14:paraId="712817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宋体"/>
                <w:color w:val="000000"/>
                <w:kern w:val="0"/>
                <w:sz w:val="24"/>
                <w:szCs w:val="24"/>
              </w:rPr>
            </w:pPr>
            <w:r>
              <w:rPr>
                <w:rFonts w:hint="eastAsia" w:cs="宋体"/>
                <w:color w:val="000000"/>
                <w:kern w:val="0"/>
                <w:sz w:val="24"/>
                <w:szCs w:val="24"/>
              </w:rPr>
              <w:t>程序</w:t>
            </w:r>
          </w:p>
          <w:p w14:paraId="16ACFA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宋体"/>
                <w:color w:val="000000"/>
                <w:kern w:val="0"/>
                <w:sz w:val="24"/>
                <w:szCs w:val="24"/>
              </w:rPr>
            </w:pPr>
            <w:r>
              <w:rPr>
                <w:rFonts w:hint="eastAsia" w:cs="宋体"/>
                <w:color w:val="000000"/>
                <w:kern w:val="0"/>
                <w:sz w:val="24"/>
                <w:szCs w:val="24"/>
              </w:rPr>
              <w:t>规范性</w:t>
            </w:r>
          </w:p>
        </w:tc>
        <w:tc>
          <w:tcPr>
            <w:tcW w:w="561" w:type="dxa"/>
            <w:tcBorders>
              <w:top w:val="single" w:color="auto" w:sz="4" w:space="0"/>
              <w:left w:val="nil"/>
              <w:bottom w:val="single" w:color="auto" w:sz="4" w:space="0"/>
              <w:right w:val="single" w:color="auto" w:sz="4" w:space="0"/>
            </w:tcBorders>
            <w:noWrap w:val="0"/>
            <w:vAlign w:val="center"/>
          </w:tcPr>
          <w:p w14:paraId="1388CA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Times New Roman"/>
                <w:color w:val="000000"/>
                <w:kern w:val="0"/>
                <w:sz w:val="24"/>
                <w:szCs w:val="24"/>
              </w:rPr>
              <w:t>2</w:t>
            </w:r>
          </w:p>
        </w:tc>
        <w:tc>
          <w:tcPr>
            <w:tcW w:w="2698" w:type="dxa"/>
            <w:tcBorders>
              <w:top w:val="single" w:color="auto" w:sz="4" w:space="0"/>
              <w:left w:val="nil"/>
              <w:bottom w:val="single" w:color="auto" w:sz="4" w:space="0"/>
              <w:right w:val="single" w:color="auto" w:sz="4" w:space="0"/>
            </w:tcBorders>
            <w:noWrap w:val="0"/>
            <w:vAlign w:val="center"/>
          </w:tcPr>
          <w:p w14:paraId="287A4FC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宋体"/>
                <w:color w:val="000000"/>
                <w:kern w:val="0"/>
                <w:sz w:val="24"/>
                <w:szCs w:val="24"/>
              </w:rPr>
            </w:pPr>
            <w:r>
              <w:rPr>
                <w:rFonts w:hint="eastAsia" w:cs="宋体"/>
                <w:color w:val="000000"/>
                <w:kern w:val="0"/>
                <w:sz w:val="24"/>
                <w:szCs w:val="24"/>
              </w:rPr>
              <w:t>项目申请、设立过程是否符合相关要求</w:t>
            </w:r>
          </w:p>
        </w:tc>
        <w:tc>
          <w:tcPr>
            <w:tcW w:w="2682" w:type="dxa"/>
            <w:tcBorders>
              <w:top w:val="single" w:color="auto" w:sz="4" w:space="0"/>
              <w:left w:val="nil"/>
              <w:bottom w:val="single" w:color="auto" w:sz="4" w:space="0"/>
              <w:right w:val="single" w:color="auto" w:sz="4" w:space="0"/>
            </w:tcBorders>
            <w:noWrap w:val="0"/>
            <w:vAlign w:val="center"/>
          </w:tcPr>
          <w:p w14:paraId="5BEDE84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宋体"/>
                <w:color w:val="000000"/>
                <w:kern w:val="0"/>
                <w:sz w:val="24"/>
                <w:szCs w:val="24"/>
              </w:rPr>
            </w:pPr>
            <w:r>
              <w:rPr>
                <w:rFonts w:hint="eastAsia" w:cs="宋体"/>
                <w:color w:val="000000"/>
                <w:kern w:val="0"/>
                <w:sz w:val="24"/>
                <w:szCs w:val="24"/>
              </w:rPr>
              <w:t>项目申请、设立等程序规范（</w:t>
            </w:r>
            <w:r>
              <w:rPr>
                <w:rFonts w:hint="eastAsia" w:cs="Times New Roman"/>
                <w:color w:val="000000"/>
                <w:kern w:val="0"/>
                <w:sz w:val="24"/>
                <w:szCs w:val="24"/>
              </w:rPr>
              <w:t>2</w:t>
            </w:r>
            <w:r>
              <w:rPr>
                <w:rFonts w:hint="eastAsia" w:cs="宋体"/>
                <w:color w:val="000000"/>
                <w:kern w:val="0"/>
                <w:sz w:val="24"/>
                <w:szCs w:val="24"/>
              </w:rPr>
              <w:t>分）</w:t>
            </w:r>
          </w:p>
        </w:tc>
      </w:tr>
      <w:tr w14:paraId="49A0DA10">
        <w:tblPrEx>
          <w:tblCellMar>
            <w:top w:w="0" w:type="dxa"/>
            <w:left w:w="108" w:type="dxa"/>
            <w:bottom w:w="0" w:type="dxa"/>
            <w:right w:w="108" w:type="dxa"/>
          </w:tblCellMar>
        </w:tblPrEx>
        <w:trPr>
          <w:trHeight w:val="920" w:hRule="atLeast"/>
          <w:jc w:val="center"/>
        </w:trPr>
        <w:tc>
          <w:tcPr>
            <w:tcW w:w="606" w:type="dxa"/>
            <w:vMerge w:val="continue"/>
            <w:tcBorders>
              <w:top w:val="single" w:color="auto" w:sz="4" w:space="0"/>
              <w:left w:val="single" w:color="auto" w:sz="4" w:space="0"/>
              <w:bottom w:val="single" w:color="000000" w:sz="4" w:space="0"/>
              <w:right w:val="single" w:color="auto" w:sz="4" w:space="0"/>
            </w:tcBorders>
            <w:noWrap w:val="0"/>
            <w:vAlign w:val="center"/>
          </w:tcPr>
          <w:p w14:paraId="0CE62C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p>
        </w:tc>
        <w:tc>
          <w:tcPr>
            <w:tcW w:w="575" w:type="dxa"/>
            <w:vMerge w:val="continue"/>
            <w:tcBorders>
              <w:top w:val="single" w:color="auto" w:sz="4" w:space="0"/>
              <w:left w:val="single" w:color="auto" w:sz="4" w:space="0"/>
              <w:bottom w:val="single" w:color="000000" w:sz="4" w:space="0"/>
              <w:right w:val="single" w:color="auto" w:sz="4" w:space="0"/>
            </w:tcBorders>
            <w:noWrap w:val="0"/>
            <w:vAlign w:val="center"/>
          </w:tcPr>
          <w:p w14:paraId="2C1C627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606" w:type="dxa"/>
            <w:vMerge w:val="restart"/>
            <w:tcBorders>
              <w:top w:val="single" w:color="auto" w:sz="4" w:space="0"/>
              <w:left w:val="single" w:color="auto" w:sz="4" w:space="0"/>
              <w:bottom w:val="single" w:color="000000" w:sz="4" w:space="0"/>
              <w:right w:val="single" w:color="auto" w:sz="4" w:space="0"/>
            </w:tcBorders>
            <w:noWrap w:val="0"/>
            <w:vAlign w:val="center"/>
          </w:tcPr>
          <w:p w14:paraId="1D42BC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决策过程</w:t>
            </w:r>
          </w:p>
        </w:tc>
        <w:tc>
          <w:tcPr>
            <w:tcW w:w="561" w:type="dxa"/>
            <w:vMerge w:val="restart"/>
            <w:tcBorders>
              <w:top w:val="single" w:color="auto" w:sz="4" w:space="0"/>
              <w:left w:val="single" w:color="auto" w:sz="4" w:space="0"/>
              <w:bottom w:val="single" w:color="000000" w:sz="4" w:space="0"/>
              <w:right w:val="single" w:color="auto" w:sz="4" w:space="0"/>
            </w:tcBorders>
            <w:noWrap w:val="0"/>
            <w:vAlign w:val="center"/>
          </w:tcPr>
          <w:p w14:paraId="44E80B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8</w:t>
            </w:r>
          </w:p>
        </w:tc>
        <w:tc>
          <w:tcPr>
            <w:tcW w:w="822" w:type="dxa"/>
            <w:tcBorders>
              <w:top w:val="nil"/>
              <w:left w:val="nil"/>
              <w:bottom w:val="single" w:color="auto" w:sz="4" w:space="0"/>
              <w:right w:val="single" w:color="auto" w:sz="4" w:space="0"/>
            </w:tcBorders>
            <w:noWrap w:val="0"/>
            <w:vAlign w:val="center"/>
          </w:tcPr>
          <w:p w14:paraId="4A67E1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决策</w:t>
            </w:r>
          </w:p>
          <w:p w14:paraId="79AC58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依据</w:t>
            </w:r>
          </w:p>
        </w:tc>
        <w:tc>
          <w:tcPr>
            <w:tcW w:w="561" w:type="dxa"/>
            <w:tcBorders>
              <w:top w:val="nil"/>
              <w:left w:val="nil"/>
              <w:bottom w:val="single" w:color="auto" w:sz="4" w:space="0"/>
              <w:right w:val="single" w:color="auto" w:sz="4" w:space="0"/>
            </w:tcBorders>
            <w:noWrap w:val="0"/>
            <w:vAlign w:val="center"/>
          </w:tcPr>
          <w:p w14:paraId="489D68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Times New Roman"/>
                <w:color w:val="000000"/>
                <w:kern w:val="0"/>
                <w:sz w:val="24"/>
                <w:szCs w:val="24"/>
              </w:rPr>
              <w:t>3</w:t>
            </w:r>
          </w:p>
        </w:tc>
        <w:tc>
          <w:tcPr>
            <w:tcW w:w="2698" w:type="dxa"/>
            <w:tcBorders>
              <w:top w:val="nil"/>
              <w:left w:val="nil"/>
              <w:bottom w:val="single" w:color="auto" w:sz="4" w:space="0"/>
              <w:right w:val="single" w:color="auto" w:sz="4" w:space="0"/>
            </w:tcBorders>
            <w:noWrap w:val="0"/>
            <w:vAlign w:val="center"/>
          </w:tcPr>
          <w:p w14:paraId="797967B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项目是否符合经济社会发展规划和部门年度工作计划；是否根据需要制定中长期实施规划</w:t>
            </w:r>
          </w:p>
        </w:tc>
        <w:tc>
          <w:tcPr>
            <w:tcW w:w="2682" w:type="dxa"/>
            <w:tcBorders>
              <w:top w:val="nil"/>
              <w:left w:val="nil"/>
              <w:bottom w:val="single" w:color="auto" w:sz="4" w:space="0"/>
              <w:right w:val="single" w:color="auto" w:sz="4" w:space="0"/>
            </w:tcBorders>
            <w:noWrap w:val="0"/>
            <w:vAlign w:val="center"/>
          </w:tcPr>
          <w:p w14:paraId="40E3A43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项目符合经济社会发展规划和部门年度工作计划（</w:t>
            </w:r>
            <w:r>
              <w:rPr>
                <w:rFonts w:cs="Times New Roman"/>
                <w:color w:val="000000"/>
                <w:kern w:val="0"/>
                <w:sz w:val="24"/>
                <w:szCs w:val="24"/>
              </w:rPr>
              <w:t>2</w:t>
            </w:r>
            <w:r>
              <w:rPr>
                <w:rFonts w:hint="eastAsia" w:cs="宋体"/>
                <w:color w:val="000000"/>
                <w:kern w:val="0"/>
                <w:sz w:val="24"/>
                <w:szCs w:val="24"/>
              </w:rPr>
              <w:t>分），根据需要制定中长期实施规划（</w:t>
            </w:r>
            <w:r>
              <w:rPr>
                <w:rFonts w:cs="Times New Roman"/>
                <w:color w:val="000000"/>
                <w:kern w:val="0"/>
                <w:sz w:val="24"/>
                <w:szCs w:val="24"/>
              </w:rPr>
              <w:t>1</w:t>
            </w:r>
            <w:r>
              <w:rPr>
                <w:rFonts w:hint="eastAsia" w:cs="宋体"/>
                <w:color w:val="000000"/>
                <w:kern w:val="0"/>
                <w:sz w:val="24"/>
                <w:szCs w:val="24"/>
              </w:rPr>
              <w:t>分）</w:t>
            </w:r>
          </w:p>
        </w:tc>
      </w:tr>
      <w:tr w14:paraId="1B1B34DA">
        <w:tblPrEx>
          <w:tblCellMar>
            <w:top w:w="0" w:type="dxa"/>
            <w:left w:w="108" w:type="dxa"/>
            <w:bottom w:w="0" w:type="dxa"/>
            <w:right w:w="108" w:type="dxa"/>
          </w:tblCellMar>
        </w:tblPrEx>
        <w:trPr>
          <w:trHeight w:val="905" w:hRule="atLeast"/>
          <w:jc w:val="center"/>
        </w:trPr>
        <w:tc>
          <w:tcPr>
            <w:tcW w:w="606" w:type="dxa"/>
            <w:vMerge w:val="continue"/>
            <w:tcBorders>
              <w:top w:val="single" w:color="auto" w:sz="4" w:space="0"/>
              <w:left w:val="single" w:color="auto" w:sz="4" w:space="0"/>
              <w:bottom w:val="single" w:color="000000" w:sz="4" w:space="0"/>
              <w:right w:val="single" w:color="auto" w:sz="4" w:space="0"/>
            </w:tcBorders>
            <w:noWrap w:val="0"/>
            <w:vAlign w:val="center"/>
          </w:tcPr>
          <w:p w14:paraId="7168AE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p>
        </w:tc>
        <w:tc>
          <w:tcPr>
            <w:tcW w:w="575" w:type="dxa"/>
            <w:vMerge w:val="continue"/>
            <w:tcBorders>
              <w:top w:val="single" w:color="auto" w:sz="4" w:space="0"/>
              <w:left w:val="single" w:color="auto" w:sz="4" w:space="0"/>
              <w:bottom w:val="single" w:color="000000" w:sz="4" w:space="0"/>
              <w:right w:val="single" w:color="auto" w:sz="4" w:space="0"/>
            </w:tcBorders>
            <w:noWrap w:val="0"/>
            <w:vAlign w:val="center"/>
          </w:tcPr>
          <w:p w14:paraId="417341A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606" w:type="dxa"/>
            <w:vMerge w:val="continue"/>
            <w:tcBorders>
              <w:top w:val="single" w:color="auto" w:sz="4" w:space="0"/>
              <w:left w:val="single" w:color="auto" w:sz="4" w:space="0"/>
              <w:bottom w:val="single" w:color="000000" w:sz="4" w:space="0"/>
              <w:right w:val="single" w:color="auto" w:sz="4" w:space="0"/>
            </w:tcBorders>
            <w:noWrap w:val="0"/>
            <w:vAlign w:val="center"/>
          </w:tcPr>
          <w:p w14:paraId="16A4AC0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14:paraId="2AE9E7D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822" w:type="dxa"/>
            <w:tcBorders>
              <w:top w:val="nil"/>
              <w:left w:val="nil"/>
              <w:bottom w:val="single" w:color="auto" w:sz="4" w:space="0"/>
              <w:right w:val="single" w:color="auto" w:sz="4" w:space="0"/>
            </w:tcBorders>
            <w:noWrap w:val="0"/>
            <w:vAlign w:val="center"/>
          </w:tcPr>
          <w:p w14:paraId="0526A5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决策</w:t>
            </w:r>
          </w:p>
          <w:p w14:paraId="161BAB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程序</w:t>
            </w:r>
          </w:p>
        </w:tc>
        <w:tc>
          <w:tcPr>
            <w:tcW w:w="561" w:type="dxa"/>
            <w:tcBorders>
              <w:top w:val="nil"/>
              <w:left w:val="nil"/>
              <w:bottom w:val="single" w:color="auto" w:sz="4" w:space="0"/>
              <w:right w:val="single" w:color="auto" w:sz="4" w:space="0"/>
            </w:tcBorders>
            <w:noWrap w:val="0"/>
            <w:vAlign w:val="center"/>
          </w:tcPr>
          <w:p w14:paraId="2783AC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Times New Roman"/>
                <w:color w:val="000000"/>
                <w:kern w:val="0"/>
                <w:sz w:val="24"/>
                <w:szCs w:val="24"/>
              </w:rPr>
              <w:t>5</w:t>
            </w:r>
          </w:p>
        </w:tc>
        <w:tc>
          <w:tcPr>
            <w:tcW w:w="2698" w:type="dxa"/>
            <w:tcBorders>
              <w:top w:val="nil"/>
              <w:left w:val="nil"/>
              <w:bottom w:val="single" w:color="auto" w:sz="4" w:space="0"/>
              <w:right w:val="single" w:color="auto" w:sz="4" w:space="0"/>
            </w:tcBorders>
            <w:noWrap w:val="0"/>
            <w:vAlign w:val="center"/>
          </w:tcPr>
          <w:p w14:paraId="1440DA3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项目是否符合申报条件；申报、批复程序是否符合相关管理办法；项目调整是否履行相应手续</w:t>
            </w:r>
          </w:p>
        </w:tc>
        <w:tc>
          <w:tcPr>
            <w:tcW w:w="2682" w:type="dxa"/>
            <w:tcBorders>
              <w:top w:val="nil"/>
              <w:left w:val="nil"/>
              <w:bottom w:val="single" w:color="auto" w:sz="4" w:space="0"/>
              <w:right w:val="single" w:color="auto" w:sz="4" w:space="0"/>
            </w:tcBorders>
            <w:noWrap w:val="0"/>
            <w:vAlign w:val="center"/>
          </w:tcPr>
          <w:p w14:paraId="18406AE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项目符合申报条件（</w:t>
            </w:r>
            <w:r>
              <w:rPr>
                <w:rFonts w:cs="Times New Roman"/>
                <w:color w:val="000000"/>
                <w:kern w:val="0"/>
                <w:sz w:val="24"/>
                <w:szCs w:val="24"/>
              </w:rPr>
              <w:t>2</w:t>
            </w:r>
            <w:r>
              <w:rPr>
                <w:rFonts w:hint="eastAsia" w:cs="宋体"/>
                <w:color w:val="000000"/>
                <w:kern w:val="0"/>
                <w:sz w:val="24"/>
                <w:szCs w:val="24"/>
              </w:rPr>
              <w:t>分），申报、批复程序符合相关管理办法（</w:t>
            </w:r>
            <w:r>
              <w:rPr>
                <w:rFonts w:cs="Times New Roman"/>
                <w:color w:val="000000"/>
                <w:kern w:val="0"/>
                <w:sz w:val="24"/>
                <w:szCs w:val="24"/>
              </w:rPr>
              <w:t>2</w:t>
            </w:r>
            <w:r>
              <w:rPr>
                <w:rFonts w:hint="eastAsia" w:cs="宋体"/>
                <w:color w:val="000000"/>
                <w:kern w:val="0"/>
                <w:sz w:val="24"/>
                <w:szCs w:val="24"/>
              </w:rPr>
              <w:t>分），项目实施调整履行相应手续（</w:t>
            </w:r>
            <w:r>
              <w:rPr>
                <w:rFonts w:cs="Times New Roman"/>
                <w:color w:val="000000"/>
                <w:kern w:val="0"/>
                <w:sz w:val="24"/>
                <w:szCs w:val="24"/>
              </w:rPr>
              <w:t>1</w:t>
            </w:r>
            <w:r>
              <w:rPr>
                <w:rFonts w:hint="eastAsia" w:cs="宋体"/>
                <w:color w:val="000000"/>
                <w:kern w:val="0"/>
                <w:sz w:val="24"/>
                <w:szCs w:val="24"/>
              </w:rPr>
              <w:t>分）</w:t>
            </w:r>
          </w:p>
        </w:tc>
      </w:tr>
      <w:tr w14:paraId="09790951">
        <w:tblPrEx>
          <w:tblCellMar>
            <w:top w:w="0" w:type="dxa"/>
            <w:left w:w="108" w:type="dxa"/>
            <w:bottom w:w="0" w:type="dxa"/>
            <w:right w:w="108" w:type="dxa"/>
          </w:tblCellMar>
        </w:tblPrEx>
        <w:trPr>
          <w:trHeight w:val="935" w:hRule="atLeast"/>
          <w:jc w:val="center"/>
        </w:trPr>
        <w:tc>
          <w:tcPr>
            <w:tcW w:w="606" w:type="dxa"/>
            <w:vMerge w:val="continue"/>
            <w:tcBorders>
              <w:top w:val="single" w:color="auto" w:sz="4" w:space="0"/>
              <w:left w:val="single" w:color="auto" w:sz="4" w:space="0"/>
              <w:bottom w:val="single" w:color="000000" w:sz="4" w:space="0"/>
              <w:right w:val="single" w:color="auto" w:sz="4" w:space="0"/>
            </w:tcBorders>
            <w:noWrap w:val="0"/>
            <w:vAlign w:val="center"/>
          </w:tcPr>
          <w:p w14:paraId="0328D07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p>
        </w:tc>
        <w:tc>
          <w:tcPr>
            <w:tcW w:w="575" w:type="dxa"/>
            <w:vMerge w:val="continue"/>
            <w:tcBorders>
              <w:top w:val="single" w:color="auto" w:sz="4" w:space="0"/>
              <w:left w:val="single" w:color="auto" w:sz="4" w:space="0"/>
              <w:bottom w:val="single" w:color="000000" w:sz="4" w:space="0"/>
              <w:right w:val="single" w:color="auto" w:sz="4" w:space="0"/>
            </w:tcBorders>
            <w:noWrap w:val="0"/>
            <w:vAlign w:val="center"/>
          </w:tcPr>
          <w:p w14:paraId="71FB749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606" w:type="dxa"/>
            <w:vMerge w:val="restart"/>
            <w:tcBorders>
              <w:top w:val="nil"/>
              <w:left w:val="single" w:color="auto" w:sz="4" w:space="0"/>
              <w:bottom w:val="single" w:color="000000" w:sz="4" w:space="0"/>
              <w:right w:val="single" w:color="auto" w:sz="4" w:space="0"/>
            </w:tcBorders>
            <w:noWrap w:val="0"/>
            <w:vAlign w:val="center"/>
          </w:tcPr>
          <w:p w14:paraId="283F41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资金分配</w:t>
            </w:r>
          </w:p>
        </w:tc>
        <w:tc>
          <w:tcPr>
            <w:tcW w:w="561" w:type="dxa"/>
            <w:vMerge w:val="restart"/>
            <w:tcBorders>
              <w:top w:val="nil"/>
              <w:left w:val="single" w:color="auto" w:sz="4" w:space="0"/>
              <w:bottom w:val="single" w:color="000000" w:sz="4" w:space="0"/>
              <w:right w:val="single" w:color="auto" w:sz="4" w:space="0"/>
            </w:tcBorders>
            <w:noWrap w:val="0"/>
            <w:vAlign w:val="center"/>
          </w:tcPr>
          <w:p w14:paraId="0C7C17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8</w:t>
            </w:r>
          </w:p>
        </w:tc>
        <w:tc>
          <w:tcPr>
            <w:tcW w:w="822" w:type="dxa"/>
            <w:tcBorders>
              <w:top w:val="nil"/>
              <w:left w:val="nil"/>
              <w:bottom w:val="single" w:color="auto" w:sz="4" w:space="0"/>
              <w:right w:val="single" w:color="auto" w:sz="4" w:space="0"/>
            </w:tcBorders>
            <w:noWrap w:val="0"/>
            <w:vAlign w:val="center"/>
          </w:tcPr>
          <w:p w14:paraId="1DADEF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分配</w:t>
            </w:r>
          </w:p>
          <w:p w14:paraId="1BF0DE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办法</w:t>
            </w:r>
          </w:p>
        </w:tc>
        <w:tc>
          <w:tcPr>
            <w:tcW w:w="561" w:type="dxa"/>
            <w:tcBorders>
              <w:top w:val="nil"/>
              <w:left w:val="nil"/>
              <w:bottom w:val="single" w:color="auto" w:sz="4" w:space="0"/>
              <w:right w:val="single" w:color="auto" w:sz="4" w:space="0"/>
            </w:tcBorders>
            <w:noWrap w:val="0"/>
            <w:vAlign w:val="center"/>
          </w:tcPr>
          <w:p w14:paraId="3C8E7D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Times New Roman"/>
                <w:color w:val="000000"/>
                <w:kern w:val="0"/>
                <w:sz w:val="24"/>
                <w:szCs w:val="24"/>
              </w:rPr>
              <w:t>2</w:t>
            </w:r>
          </w:p>
        </w:tc>
        <w:tc>
          <w:tcPr>
            <w:tcW w:w="2698" w:type="dxa"/>
            <w:tcBorders>
              <w:top w:val="nil"/>
              <w:left w:val="nil"/>
              <w:bottom w:val="single" w:color="auto" w:sz="4" w:space="0"/>
              <w:right w:val="single" w:color="auto" w:sz="4" w:space="0"/>
            </w:tcBorders>
            <w:noWrap w:val="0"/>
            <w:vAlign w:val="center"/>
          </w:tcPr>
          <w:p w14:paraId="5889A99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是否根据需要制定相关资金管理办法，并在管理办法中明确资金分配办法；资金分配因素是否全面、合理</w:t>
            </w:r>
          </w:p>
        </w:tc>
        <w:tc>
          <w:tcPr>
            <w:tcW w:w="2682" w:type="dxa"/>
            <w:tcBorders>
              <w:top w:val="nil"/>
              <w:left w:val="nil"/>
              <w:bottom w:val="single" w:color="auto" w:sz="4" w:space="0"/>
              <w:right w:val="single" w:color="auto" w:sz="4" w:space="0"/>
            </w:tcBorders>
            <w:noWrap w:val="0"/>
            <w:vAlign w:val="center"/>
          </w:tcPr>
          <w:p w14:paraId="09916BA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办法健全、规范（</w:t>
            </w:r>
            <w:r>
              <w:rPr>
                <w:rFonts w:cs="Times New Roman"/>
                <w:color w:val="000000"/>
                <w:kern w:val="0"/>
                <w:sz w:val="24"/>
                <w:szCs w:val="24"/>
              </w:rPr>
              <w:t>1</w:t>
            </w:r>
            <w:r>
              <w:rPr>
                <w:rFonts w:hint="eastAsia" w:cs="宋体"/>
                <w:color w:val="000000"/>
                <w:kern w:val="0"/>
                <w:sz w:val="24"/>
                <w:szCs w:val="24"/>
              </w:rPr>
              <w:t>分），因素选择全面、合理（</w:t>
            </w:r>
            <w:r>
              <w:rPr>
                <w:rFonts w:cs="Times New Roman"/>
                <w:color w:val="000000"/>
                <w:kern w:val="0"/>
                <w:sz w:val="24"/>
                <w:szCs w:val="24"/>
              </w:rPr>
              <w:t>1</w:t>
            </w:r>
            <w:r>
              <w:rPr>
                <w:rFonts w:hint="eastAsia" w:cs="宋体"/>
                <w:color w:val="000000"/>
                <w:kern w:val="0"/>
                <w:sz w:val="24"/>
                <w:szCs w:val="24"/>
              </w:rPr>
              <w:t>分）</w:t>
            </w:r>
          </w:p>
        </w:tc>
      </w:tr>
      <w:tr w14:paraId="21AC92CC">
        <w:tblPrEx>
          <w:tblCellMar>
            <w:top w:w="0" w:type="dxa"/>
            <w:left w:w="108" w:type="dxa"/>
            <w:bottom w:w="0" w:type="dxa"/>
            <w:right w:w="108" w:type="dxa"/>
          </w:tblCellMar>
        </w:tblPrEx>
        <w:trPr>
          <w:trHeight w:val="701" w:hRule="exac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228D97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p>
        </w:tc>
        <w:tc>
          <w:tcPr>
            <w:tcW w:w="575" w:type="dxa"/>
            <w:vMerge w:val="continue"/>
            <w:tcBorders>
              <w:top w:val="single" w:color="auto" w:sz="4" w:space="0"/>
              <w:left w:val="single" w:color="auto" w:sz="4" w:space="0"/>
              <w:bottom w:val="single" w:color="auto" w:sz="4" w:space="0"/>
              <w:right w:val="single" w:color="auto" w:sz="4" w:space="0"/>
            </w:tcBorders>
            <w:noWrap w:val="0"/>
            <w:vAlign w:val="center"/>
          </w:tcPr>
          <w:p w14:paraId="3AF2579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606" w:type="dxa"/>
            <w:vMerge w:val="continue"/>
            <w:tcBorders>
              <w:top w:val="nil"/>
              <w:left w:val="single" w:color="auto" w:sz="4" w:space="0"/>
              <w:bottom w:val="single" w:color="auto" w:sz="4" w:space="0"/>
              <w:right w:val="single" w:color="auto" w:sz="4" w:space="0"/>
            </w:tcBorders>
            <w:noWrap w:val="0"/>
            <w:vAlign w:val="center"/>
          </w:tcPr>
          <w:p w14:paraId="222547A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561" w:type="dxa"/>
            <w:vMerge w:val="continue"/>
            <w:tcBorders>
              <w:top w:val="nil"/>
              <w:left w:val="single" w:color="auto" w:sz="4" w:space="0"/>
              <w:bottom w:val="single" w:color="auto" w:sz="4" w:space="0"/>
              <w:right w:val="single" w:color="auto" w:sz="4" w:space="0"/>
            </w:tcBorders>
            <w:noWrap w:val="0"/>
            <w:vAlign w:val="center"/>
          </w:tcPr>
          <w:p w14:paraId="2956834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822" w:type="dxa"/>
            <w:tcBorders>
              <w:top w:val="nil"/>
              <w:left w:val="nil"/>
              <w:bottom w:val="single" w:color="auto" w:sz="4" w:space="0"/>
              <w:right w:val="single" w:color="auto" w:sz="4" w:space="0"/>
            </w:tcBorders>
            <w:noWrap w:val="0"/>
            <w:vAlign w:val="center"/>
          </w:tcPr>
          <w:p w14:paraId="2156E9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分配</w:t>
            </w:r>
          </w:p>
          <w:p w14:paraId="49564C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结果</w:t>
            </w:r>
          </w:p>
        </w:tc>
        <w:tc>
          <w:tcPr>
            <w:tcW w:w="561" w:type="dxa"/>
            <w:tcBorders>
              <w:top w:val="nil"/>
              <w:left w:val="nil"/>
              <w:bottom w:val="single" w:color="auto" w:sz="4" w:space="0"/>
              <w:right w:val="single" w:color="auto" w:sz="4" w:space="0"/>
            </w:tcBorders>
            <w:noWrap w:val="0"/>
            <w:vAlign w:val="center"/>
          </w:tcPr>
          <w:p w14:paraId="0EEFC4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Times New Roman"/>
                <w:color w:val="000000"/>
                <w:kern w:val="0"/>
                <w:sz w:val="24"/>
                <w:szCs w:val="24"/>
              </w:rPr>
              <w:t>6</w:t>
            </w:r>
          </w:p>
        </w:tc>
        <w:tc>
          <w:tcPr>
            <w:tcW w:w="2698" w:type="dxa"/>
            <w:tcBorders>
              <w:top w:val="nil"/>
              <w:left w:val="nil"/>
              <w:bottom w:val="single" w:color="auto" w:sz="4" w:space="0"/>
              <w:right w:val="single" w:color="auto" w:sz="4" w:space="0"/>
            </w:tcBorders>
            <w:noWrap w:val="0"/>
            <w:vAlign w:val="center"/>
          </w:tcPr>
          <w:p w14:paraId="0A0A918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资金分配是否符合相关管理办法；分配结果是否合理</w:t>
            </w:r>
          </w:p>
        </w:tc>
        <w:tc>
          <w:tcPr>
            <w:tcW w:w="2682" w:type="dxa"/>
            <w:tcBorders>
              <w:top w:val="nil"/>
              <w:left w:val="nil"/>
              <w:bottom w:val="single" w:color="auto" w:sz="4" w:space="0"/>
              <w:right w:val="single" w:color="auto" w:sz="4" w:space="0"/>
            </w:tcBorders>
            <w:noWrap w:val="0"/>
            <w:vAlign w:val="center"/>
          </w:tcPr>
          <w:p w14:paraId="6E15243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项目符合相关分配办法（</w:t>
            </w:r>
            <w:r>
              <w:rPr>
                <w:rFonts w:cs="Times New Roman"/>
                <w:color w:val="000000"/>
                <w:kern w:val="0"/>
                <w:sz w:val="24"/>
                <w:szCs w:val="24"/>
              </w:rPr>
              <w:t>2</w:t>
            </w:r>
            <w:r>
              <w:rPr>
                <w:rFonts w:hint="eastAsia" w:cs="宋体"/>
                <w:color w:val="000000"/>
                <w:kern w:val="0"/>
                <w:sz w:val="24"/>
                <w:szCs w:val="24"/>
              </w:rPr>
              <w:t>分），资金分配合理（</w:t>
            </w:r>
            <w:r>
              <w:rPr>
                <w:rFonts w:cs="Times New Roman"/>
                <w:color w:val="000000"/>
                <w:kern w:val="0"/>
                <w:sz w:val="24"/>
                <w:szCs w:val="24"/>
              </w:rPr>
              <w:t>4</w:t>
            </w:r>
            <w:r>
              <w:rPr>
                <w:rFonts w:hint="eastAsia" w:cs="宋体"/>
                <w:color w:val="000000"/>
                <w:kern w:val="0"/>
                <w:sz w:val="24"/>
                <w:szCs w:val="24"/>
              </w:rPr>
              <w:t>分）</w:t>
            </w:r>
          </w:p>
        </w:tc>
      </w:tr>
      <w:tr w14:paraId="3A49ACB7">
        <w:tblPrEx>
          <w:tblCellMar>
            <w:top w:w="0" w:type="dxa"/>
            <w:left w:w="108" w:type="dxa"/>
            <w:bottom w:w="0" w:type="dxa"/>
            <w:right w:w="108" w:type="dxa"/>
          </w:tblCellMar>
        </w:tblPrEx>
        <w:trPr>
          <w:trHeight w:val="428"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14:paraId="3D5106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项目过程</w:t>
            </w:r>
          </w:p>
        </w:tc>
        <w:tc>
          <w:tcPr>
            <w:tcW w:w="575" w:type="dxa"/>
            <w:vMerge w:val="restart"/>
            <w:tcBorders>
              <w:top w:val="single" w:color="auto" w:sz="4" w:space="0"/>
              <w:left w:val="single" w:color="auto" w:sz="4" w:space="0"/>
              <w:bottom w:val="single" w:color="auto" w:sz="4" w:space="0"/>
              <w:right w:val="single" w:color="auto" w:sz="4" w:space="0"/>
            </w:tcBorders>
            <w:noWrap w:val="0"/>
            <w:vAlign w:val="center"/>
          </w:tcPr>
          <w:p w14:paraId="139BBF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25</w:t>
            </w:r>
          </w:p>
        </w:tc>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14:paraId="79BFC9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资金到位</w:t>
            </w:r>
          </w:p>
        </w:tc>
        <w:tc>
          <w:tcPr>
            <w:tcW w:w="561" w:type="dxa"/>
            <w:vMerge w:val="restart"/>
            <w:tcBorders>
              <w:top w:val="single" w:color="auto" w:sz="4" w:space="0"/>
              <w:left w:val="single" w:color="auto" w:sz="4" w:space="0"/>
              <w:bottom w:val="single" w:color="auto" w:sz="4" w:space="0"/>
              <w:right w:val="single" w:color="auto" w:sz="4" w:space="0"/>
            </w:tcBorders>
            <w:noWrap w:val="0"/>
            <w:vAlign w:val="center"/>
          </w:tcPr>
          <w:p w14:paraId="32B026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5</w:t>
            </w:r>
          </w:p>
        </w:tc>
        <w:tc>
          <w:tcPr>
            <w:tcW w:w="822" w:type="dxa"/>
            <w:tcBorders>
              <w:top w:val="single" w:color="auto" w:sz="4" w:space="0"/>
              <w:left w:val="nil"/>
              <w:bottom w:val="single" w:color="auto" w:sz="4" w:space="0"/>
              <w:right w:val="single" w:color="auto" w:sz="4" w:space="0"/>
            </w:tcBorders>
            <w:noWrap w:val="0"/>
            <w:vAlign w:val="center"/>
          </w:tcPr>
          <w:p w14:paraId="024568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到位率</w:t>
            </w:r>
          </w:p>
        </w:tc>
        <w:tc>
          <w:tcPr>
            <w:tcW w:w="561" w:type="dxa"/>
            <w:tcBorders>
              <w:top w:val="single" w:color="auto" w:sz="4" w:space="0"/>
              <w:left w:val="nil"/>
              <w:bottom w:val="single" w:color="auto" w:sz="4" w:space="0"/>
              <w:right w:val="single" w:color="auto" w:sz="4" w:space="0"/>
            </w:tcBorders>
            <w:noWrap w:val="0"/>
            <w:vAlign w:val="center"/>
          </w:tcPr>
          <w:p w14:paraId="015741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3</w:t>
            </w:r>
          </w:p>
        </w:tc>
        <w:tc>
          <w:tcPr>
            <w:tcW w:w="2698" w:type="dxa"/>
            <w:tcBorders>
              <w:top w:val="single" w:color="auto" w:sz="4" w:space="0"/>
              <w:left w:val="nil"/>
              <w:bottom w:val="single" w:color="auto" w:sz="4" w:space="0"/>
              <w:right w:val="single" w:color="auto" w:sz="4" w:space="0"/>
            </w:tcBorders>
            <w:noWrap w:val="0"/>
            <w:vAlign w:val="center"/>
          </w:tcPr>
          <w:p w14:paraId="559156C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实际到位</w:t>
            </w:r>
            <w:r>
              <w:rPr>
                <w:rFonts w:cs="Times New Roman"/>
                <w:color w:val="000000"/>
                <w:kern w:val="0"/>
                <w:sz w:val="24"/>
                <w:szCs w:val="24"/>
              </w:rPr>
              <w:t>/</w:t>
            </w:r>
            <w:r>
              <w:rPr>
                <w:rFonts w:hint="eastAsia" w:cs="宋体"/>
                <w:color w:val="000000"/>
                <w:kern w:val="0"/>
                <w:sz w:val="24"/>
                <w:szCs w:val="24"/>
              </w:rPr>
              <w:t>计划到位</w:t>
            </w:r>
            <w:r>
              <w:rPr>
                <w:rFonts w:cs="Times New Roman"/>
                <w:color w:val="000000"/>
                <w:kern w:val="0"/>
                <w:sz w:val="24"/>
                <w:szCs w:val="24"/>
              </w:rPr>
              <w:t>×100%</w:t>
            </w:r>
          </w:p>
        </w:tc>
        <w:tc>
          <w:tcPr>
            <w:tcW w:w="2682" w:type="dxa"/>
            <w:tcBorders>
              <w:top w:val="single" w:color="auto" w:sz="4" w:space="0"/>
              <w:left w:val="nil"/>
              <w:bottom w:val="single" w:color="auto" w:sz="4" w:space="0"/>
              <w:right w:val="single" w:color="auto" w:sz="4" w:space="0"/>
            </w:tcBorders>
            <w:noWrap w:val="0"/>
            <w:vAlign w:val="center"/>
          </w:tcPr>
          <w:p w14:paraId="0862AE7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根据项目实际到位资金占计划的比重计算得分（</w:t>
            </w:r>
            <w:r>
              <w:rPr>
                <w:rFonts w:cs="Times New Roman"/>
                <w:color w:val="000000"/>
                <w:kern w:val="0"/>
                <w:sz w:val="24"/>
                <w:szCs w:val="24"/>
              </w:rPr>
              <w:t>3</w:t>
            </w:r>
            <w:r>
              <w:rPr>
                <w:rFonts w:hint="eastAsia" w:cs="宋体"/>
                <w:color w:val="000000"/>
                <w:kern w:val="0"/>
                <w:sz w:val="24"/>
                <w:szCs w:val="24"/>
              </w:rPr>
              <w:t>分）</w:t>
            </w:r>
          </w:p>
        </w:tc>
      </w:tr>
      <w:tr w14:paraId="76D82F81">
        <w:tblPrEx>
          <w:tblCellMar>
            <w:top w:w="0" w:type="dxa"/>
            <w:left w:w="108" w:type="dxa"/>
            <w:bottom w:w="0" w:type="dxa"/>
            <w:right w:w="108" w:type="dxa"/>
          </w:tblCellMar>
        </w:tblPrEx>
        <w:trPr>
          <w:trHeight w:val="428"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1D18113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575" w:type="dxa"/>
            <w:vMerge w:val="continue"/>
            <w:tcBorders>
              <w:top w:val="single" w:color="auto" w:sz="4" w:space="0"/>
              <w:left w:val="single" w:color="auto" w:sz="4" w:space="0"/>
              <w:bottom w:val="single" w:color="auto" w:sz="4" w:space="0"/>
              <w:right w:val="single" w:color="auto" w:sz="4" w:space="0"/>
            </w:tcBorders>
            <w:noWrap w:val="0"/>
            <w:vAlign w:val="center"/>
          </w:tcPr>
          <w:p w14:paraId="754BB5C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38B51AC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14:paraId="7BB53E1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822" w:type="dxa"/>
            <w:tcBorders>
              <w:top w:val="single" w:color="auto" w:sz="4" w:space="0"/>
              <w:left w:val="nil"/>
              <w:bottom w:val="single" w:color="auto" w:sz="4" w:space="0"/>
              <w:right w:val="single" w:color="auto" w:sz="4" w:space="0"/>
            </w:tcBorders>
            <w:noWrap w:val="0"/>
            <w:vAlign w:val="center"/>
          </w:tcPr>
          <w:p w14:paraId="72B20E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到位</w:t>
            </w:r>
          </w:p>
          <w:p w14:paraId="29BA2C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时效</w:t>
            </w:r>
          </w:p>
        </w:tc>
        <w:tc>
          <w:tcPr>
            <w:tcW w:w="561" w:type="dxa"/>
            <w:tcBorders>
              <w:top w:val="single" w:color="auto" w:sz="4" w:space="0"/>
              <w:left w:val="nil"/>
              <w:bottom w:val="single" w:color="auto" w:sz="4" w:space="0"/>
              <w:right w:val="single" w:color="auto" w:sz="4" w:space="0"/>
            </w:tcBorders>
            <w:noWrap w:val="0"/>
            <w:vAlign w:val="center"/>
          </w:tcPr>
          <w:p w14:paraId="53A59A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2</w:t>
            </w:r>
          </w:p>
        </w:tc>
        <w:tc>
          <w:tcPr>
            <w:tcW w:w="2698" w:type="dxa"/>
            <w:tcBorders>
              <w:top w:val="single" w:color="auto" w:sz="4" w:space="0"/>
              <w:left w:val="nil"/>
              <w:bottom w:val="single" w:color="auto" w:sz="4" w:space="0"/>
              <w:right w:val="single" w:color="auto" w:sz="4" w:space="0"/>
            </w:tcBorders>
            <w:noWrap w:val="0"/>
            <w:vAlign w:val="center"/>
          </w:tcPr>
          <w:p w14:paraId="61BBBCC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资金是否及时到位；若未及时到位，是否影响项目进度</w:t>
            </w:r>
          </w:p>
        </w:tc>
        <w:tc>
          <w:tcPr>
            <w:tcW w:w="2682" w:type="dxa"/>
            <w:tcBorders>
              <w:top w:val="single" w:color="auto" w:sz="4" w:space="0"/>
              <w:left w:val="nil"/>
              <w:bottom w:val="single" w:color="auto" w:sz="4" w:space="0"/>
              <w:right w:val="single" w:color="auto" w:sz="4" w:space="0"/>
            </w:tcBorders>
            <w:noWrap w:val="0"/>
            <w:vAlign w:val="center"/>
          </w:tcPr>
          <w:p w14:paraId="3413741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及时到位（</w:t>
            </w:r>
            <w:r>
              <w:rPr>
                <w:rFonts w:cs="Times New Roman"/>
                <w:color w:val="000000"/>
                <w:kern w:val="0"/>
                <w:sz w:val="24"/>
                <w:szCs w:val="24"/>
              </w:rPr>
              <w:t>2</w:t>
            </w:r>
            <w:r>
              <w:rPr>
                <w:rFonts w:hint="eastAsia" w:cs="宋体"/>
                <w:color w:val="000000"/>
                <w:kern w:val="0"/>
                <w:sz w:val="24"/>
                <w:szCs w:val="24"/>
              </w:rPr>
              <w:t>分），未及时到位但未影响项目进度（</w:t>
            </w:r>
            <w:r>
              <w:rPr>
                <w:rFonts w:cs="Times New Roman"/>
                <w:color w:val="000000"/>
                <w:kern w:val="0"/>
                <w:sz w:val="24"/>
                <w:szCs w:val="24"/>
              </w:rPr>
              <w:t>1.5</w:t>
            </w:r>
            <w:r>
              <w:rPr>
                <w:rFonts w:hint="eastAsia" w:cs="宋体"/>
                <w:color w:val="000000"/>
                <w:kern w:val="0"/>
                <w:sz w:val="24"/>
                <w:szCs w:val="24"/>
              </w:rPr>
              <w:t>分），未及时到位并影响项目进度（</w:t>
            </w:r>
            <w:r>
              <w:rPr>
                <w:rFonts w:cs="Times New Roman"/>
                <w:color w:val="000000"/>
                <w:kern w:val="0"/>
                <w:sz w:val="24"/>
                <w:szCs w:val="24"/>
              </w:rPr>
              <w:t>0-1</w:t>
            </w:r>
            <w:r>
              <w:rPr>
                <w:rFonts w:hint="eastAsia" w:cs="宋体"/>
                <w:color w:val="000000"/>
                <w:kern w:val="0"/>
                <w:sz w:val="24"/>
                <w:szCs w:val="24"/>
              </w:rPr>
              <w:t>分）。</w:t>
            </w:r>
          </w:p>
        </w:tc>
      </w:tr>
      <w:tr w14:paraId="4F725FEA">
        <w:tblPrEx>
          <w:tblCellMar>
            <w:top w:w="0" w:type="dxa"/>
            <w:left w:w="108" w:type="dxa"/>
            <w:bottom w:w="0" w:type="dxa"/>
            <w:right w:w="108" w:type="dxa"/>
          </w:tblCellMar>
        </w:tblPrEx>
        <w:trPr>
          <w:trHeight w:val="1110"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6ECA579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575" w:type="dxa"/>
            <w:vMerge w:val="continue"/>
            <w:tcBorders>
              <w:top w:val="single" w:color="auto" w:sz="4" w:space="0"/>
              <w:left w:val="single" w:color="auto" w:sz="4" w:space="0"/>
              <w:bottom w:val="single" w:color="auto" w:sz="4" w:space="0"/>
              <w:right w:val="single" w:color="auto" w:sz="4" w:space="0"/>
            </w:tcBorders>
            <w:noWrap w:val="0"/>
            <w:vAlign w:val="center"/>
          </w:tcPr>
          <w:p w14:paraId="154C221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14:paraId="6DBD34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资金管理</w:t>
            </w:r>
          </w:p>
        </w:tc>
        <w:tc>
          <w:tcPr>
            <w:tcW w:w="561" w:type="dxa"/>
            <w:vMerge w:val="restart"/>
            <w:tcBorders>
              <w:top w:val="single" w:color="auto" w:sz="4" w:space="0"/>
              <w:left w:val="single" w:color="auto" w:sz="4" w:space="0"/>
              <w:bottom w:val="single" w:color="auto" w:sz="4" w:space="0"/>
              <w:right w:val="single" w:color="auto" w:sz="4" w:space="0"/>
            </w:tcBorders>
            <w:noWrap w:val="0"/>
            <w:vAlign w:val="center"/>
          </w:tcPr>
          <w:p w14:paraId="48FDB1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10</w:t>
            </w:r>
          </w:p>
        </w:tc>
        <w:tc>
          <w:tcPr>
            <w:tcW w:w="822" w:type="dxa"/>
            <w:tcBorders>
              <w:top w:val="single" w:color="auto" w:sz="4" w:space="0"/>
              <w:left w:val="nil"/>
              <w:bottom w:val="single" w:color="auto" w:sz="4" w:space="0"/>
              <w:right w:val="single" w:color="auto" w:sz="4" w:space="0"/>
            </w:tcBorders>
            <w:noWrap w:val="0"/>
            <w:vAlign w:val="center"/>
          </w:tcPr>
          <w:p w14:paraId="2547D6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资金</w:t>
            </w:r>
          </w:p>
          <w:p w14:paraId="423C05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使用</w:t>
            </w:r>
          </w:p>
        </w:tc>
        <w:tc>
          <w:tcPr>
            <w:tcW w:w="561" w:type="dxa"/>
            <w:tcBorders>
              <w:top w:val="single" w:color="auto" w:sz="4" w:space="0"/>
              <w:left w:val="nil"/>
              <w:bottom w:val="single" w:color="auto" w:sz="4" w:space="0"/>
              <w:right w:val="single" w:color="auto" w:sz="4" w:space="0"/>
            </w:tcBorders>
            <w:noWrap w:val="0"/>
            <w:vAlign w:val="center"/>
          </w:tcPr>
          <w:p w14:paraId="5A03AE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7</w:t>
            </w:r>
          </w:p>
        </w:tc>
        <w:tc>
          <w:tcPr>
            <w:tcW w:w="2698" w:type="dxa"/>
            <w:tcBorders>
              <w:top w:val="single" w:color="auto" w:sz="4" w:space="0"/>
              <w:left w:val="nil"/>
              <w:bottom w:val="single" w:color="auto" w:sz="4" w:space="0"/>
              <w:right w:val="single" w:color="auto" w:sz="4" w:space="0"/>
            </w:tcBorders>
            <w:noWrap w:val="0"/>
            <w:vAlign w:val="center"/>
          </w:tcPr>
          <w:p w14:paraId="5087CFD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是否存在支出依据不合规、虚列项目支出的情况；是否存在截留、挤占、挪用项目资金情况；是否存在超标准开支情况</w:t>
            </w:r>
          </w:p>
        </w:tc>
        <w:tc>
          <w:tcPr>
            <w:tcW w:w="2682" w:type="dxa"/>
            <w:tcBorders>
              <w:top w:val="single" w:color="auto" w:sz="4" w:space="0"/>
              <w:left w:val="nil"/>
              <w:bottom w:val="single" w:color="auto" w:sz="4" w:space="0"/>
              <w:right w:val="single" w:color="auto" w:sz="4" w:space="0"/>
            </w:tcBorders>
            <w:noWrap w:val="0"/>
            <w:vAlign w:val="center"/>
          </w:tcPr>
          <w:p w14:paraId="418FD03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虚列（套取）扣</w:t>
            </w:r>
            <w:r>
              <w:rPr>
                <w:rFonts w:cs="Times New Roman"/>
                <w:color w:val="000000"/>
                <w:kern w:val="0"/>
                <w:sz w:val="24"/>
                <w:szCs w:val="24"/>
              </w:rPr>
              <w:t>4-7</w:t>
            </w:r>
            <w:r>
              <w:rPr>
                <w:rFonts w:hint="eastAsia" w:cs="宋体"/>
                <w:color w:val="000000"/>
                <w:kern w:val="0"/>
                <w:sz w:val="24"/>
                <w:szCs w:val="24"/>
              </w:rPr>
              <w:t>分，支出依据不合规扣</w:t>
            </w:r>
            <w:r>
              <w:rPr>
                <w:rFonts w:cs="Times New Roman"/>
                <w:color w:val="000000"/>
                <w:kern w:val="0"/>
                <w:sz w:val="24"/>
                <w:szCs w:val="24"/>
              </w:rPr>
              <w:t>1</w:t>
            </w:r>
            <w:r>
              <w:rPr>
                <w:rFonts w:hint="eastAsia" w:cs="宋体"/>
                <w:color w:val="000000"/>
                <w:kern w:val="0"/>
                <w:sz w:val="24"/>
                <w:szCs w:val="24"/>
              </w:rPr>
              <w:t>分，截留、挤占、挪用扣</w:t>
            </w:r>
            <w:r>
              <w:rPr>
                <w:rFonts w:cs="Times New Roman"/>
                <w:color w:val="000000"/>
                <w:kern w:val="0"/>
                <w:sz w:val="24"/>
                <w:szCs w:val="24"/>
              </w:rPr>
              <w:t>3-6</w:t>
            </w:r>
            <w:r>
              <w:rPr>
                <w:rFonts w:hint="eastAsia" w:cs="宋体"/>
                <w:color w:val="000000"/>
                <w:kern w:val="0"/>
                <w:sz w:val="24"/>
                <w:szCs w:val="24"/>
              </w:rPr>
              <w:t>分，超标准开支扣</w:t>
            </w:r>
            <w:r>
              <w:rPr>
                <w:rFonts w:cs="Times New Roman"/>
                <w:color w:val="000000"/>
                <w:kern w:val="0"/>
                <w:sz w:val="24"/>
                <w:szCs w:val="24"/>
              </w:rPr>
              <w:t>2-5</w:t>
            </w:r>
            <w:r>
              <w:rPr>
                <w:rFonts w:hint="eastAsia" w:cs="宋体"/>
                <w:color w:val="000000"/>
                <w:kern w:val="0"/>
                <w:sz w:val="24"/>
                <w:szCs w:val="24"/>
              </w:rPr>
              <w:t>分</w:t>
            </w:r>
          </w:p>
        </w:tc>
      </w:tr>
      <w:tr w14:paraId="44D9EAE9">
        <w:tblPrEx>
          <w:tblCellMar>
            <w:top w:w="0" w:type="dxa"/>
            <w:left w:w="108" w:type="dxa"/>
            <w:bottom w:w="0" w:type="dxa"/>
            <w:right w:w="108" w:type="dxa"/>
          </w:tblCellMar>
        </w:tblPrEx>
        <w:trPr>
          <w:trHeight w:val="1045" w:hRule="exac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64F6AB2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575" w:type="dxa"/>
            <w:vMerge w:val="continue"/>
            <w:tcBorders>
              <w:top w:val="single" w:color="auto" w:sz="4" w:space="0"/>
              <w:left w:val="single" w:color="auto" w:sz="4" w:space="0"/>
              <w:bottom w:val="single" w:color="auto" w:sz="4" w:space="0"/>
              <w:right w:val="single" w:color="auto" w:sz="4" w:space="0"/>
            </w:tcBorders>
            <w:noWrap w:val="0"/>
            <w:vAlign w:val="center"/>
          </w:tcPr>
          <w:p w14:paraId="584EEB5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376E496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14:paraId="7FCA223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822" w:type="dxa"/>
            <w:tcBorders>
              <w:top w:val="single" w:color="auto" w:sz="4" w:space="0"/>
              <w:left w:val="nil"/>
              <w:bottom w:val="single" w:color="auto" w:sz="4" w:space="0"/>
              <w:right w:val="single" w:color="auto" w:sz="4" w:space="0"/>
            </w:tcBorders>
            <w:noWrap w:val="0"/>
            <w:vAlign w:val="center"/>
          </w:tcPr>
          <w:p w14:paraId="47AB24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财务</w:t>
            </w:r>
          </w:p>
          <w:p w14:paraId="6ABBC2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管理</w:t>
            </w:r>
          </w:p>
        </w:tc>
        <w:tc>
          <w:tcPr>
            <w:tcW w:w="561" w:type="dxa"/>
            <w:tcBorders>
              <w:top w:val="single" w:color="auto" w:sz="4" w:space="0"/>
              <w:left w:val="nil"/>
              <w:bottom w:val="single" w:color="auto" w:sz="4" w:space="0"/>
              <w:right w:val="single" w:color="auto" w:sz="4" w:space="0"/>
            </w:tcBorders>
            <w:noWrap w:val="0"/>
            <w:vAlign w:val="center"/>
          </w:tcPr>
          <w:p w14:paraId="169581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3</w:t>
            </w:r>
          </w:p>
        </w:tc>
        <w:tc>
          <w:tcPr>
            <w:tcW w:w="2698" w:type="dxa"/>
            <w:tcBorders>
              <w:top w:val="single" w:color="auto" w:sz="4" w:space="0"/>
              <w:left w:val="nil"/>
              <w:bottom w:val="single" w:color="auto" w:sz="4" w:space="0"/>
              <w:right w:val="single" w:color="auto" w:sz="4" w:space="0"/>
            </w:tcBorders>
            <w:noWrap w:val="0"/>
            <w:vAlign w:val="center"/>
          </w:tcPr>
          <w:p w14:paraId="0B37C58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资金管理、费用支出等制度是否健全，是否严格执行；会计核算是否规范</w:t>
            </w:r>
          </w:p>
        </w:tc>
        <w:tc>
          <w:tcPr>
            <w:tcW w:w="2682" w:type="dxa"/>
            <w:tcBorders>
              <w:top w:val="single" w:color="auto" w:sz="4" w:space="0"/>
              <w:left w:val="nil"/>
              <w:bottom w:val="single" w:color="auto" w:sz="4" w:space="0"/>
              <w:right w:val="single" w:color="auto" w:sz="4" w:space="0"/>
            </w:tcBorders>
            <w:noWrap w:val="0"/>
            <w:vAlign w:val="center"/>
          </w:tcPr>
          <w:p w14:paraId="333D426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财务制度健全（</w:t>
            </w:r>
            <w:r>
              <w:rPr>
                <w:rFonts w:cs="Times New Roman"/>
                <w:color w:val="000000"/>
                <w:kern w:val="0"/>
                <w:sz w:val="24"/>
                <w:szCs w:val="24"/>
              </w:rPr>
              <w:t>1</w:t>
            </w:r>
            <w:r>
              <w:rPr>
                <w:rFonts w:hint="eastAsia" w:cs="宋体"/>
                <w:color w:val="000000"/>
                <w:kern w:val="0"/>
                <w:sz w:val="24"/>
                <w:szCs w:val="24"/>
              </w:rPr>
              <w:t>分），严格执行制度（</w:t>
            </w:r>
            <w:r>
              <w:rPr>
                <w:rFonts w:cs="Times New Roman"/>
                <w:color w:val="000000"/>
                <w:kern w:val="0"/>
                <w:sz w:val="24"/>
                <w:szCs w:val="24"/>
              </w:rPr>
              <w:t>1</w:t>
            </w:r>
            <w:r>
              <w:rPr>
                <w:rFonts w:hint="eastAsia" w:cs="宋体"/>
                <w:color w:val="000000"/>
                <w:kern w:val="0"/>
                <w:sz w:val="24"/>
                <w:szCs w:val="24"/>
              </w:rPr>
              <w:t>分），会计核算规范（</w:t>
            </w:r>
            <w:r>
              <w:rPr>
                <w:rFonts w:cs="Times New Roman"/>
                <w:color w:val="000000"/>
                <w:kern w:val="0"/>
                <w:sz w:val="24"/>
                <w:szCs w:val="24"/>
              </w:rPr>
              <w:t>1</w:t>
            </w:r>
            <w:r>
              <w:rPr>
                <w:rFonts w:hint="eastAsia" w:cs="宋体"/>
                <w:color w:val="000000"/>
                <w:kern w:val="0"/>
                <w:sz w:val="24"/>
                <w:szCs w:val="24"/>
              </w:rPr>
              <w:t>分）。</w:t>
            </w:r>
          </w:p>
        </w:tc>
      </w:tr>
      <w:tr w14:paraId="35B81007">
        <w:tblPrEx>
          <w:tblCellMar>
            <w:top w:w="0" w:type="dxa"/>
            <w:left w:w="108" w:type="dxa"/>
            <w:bottom w:w="0" w:type="dxa"/>
            <w:right w:w="108" w:type="dxa"/>
          </w:tblCellMar>
        </w:tblPrEx>
        <w:trPr>
          <w:trHeight w:val="428"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531E652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575" w:type="dxa"/>
            <w:vMerge w:val="continue"/>
            <w:tcBorders>
              <w:top w:val="single" w:color="auto" w:sz="4" w:space="0"/>
              <w:left w:val="single" w:color="auto" w:sz="4" w:space="0"/>
              <w:bottom w:val="single" w:color="auto" w:sz="4" w:space="0"/>
              <w:right w:val="single" w:color="auto" w:sz="4" w:space="0"/>
            </w:tcBorders>
            <w:noWrap w:val="0"/>
            <w:vAlign w:val="center"/>
          </w:tcPr>
          <w:p w14:paraId="60495F1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14:paraId="15B198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组织实施</w:t>
            </w:r>
          </w:p>
        </w:tc>
        <w:tc>
          <w:tcPr>
            <w:tcW w:w="561" w:type="dxa"/>
            <w:vMerge w:val="restart"/>
            <w:tcBorders>
              <w:top w:val="single" w:color="auto" w:sz="4" w:space="0"/>
              <w:left w:val="single" w:color="auto" w:sz="4" w:space="0"/>
              <w:bottom w:val="single" w:color="auto" w:sz="4" w:space="0"/>
              <w:right w:val="single" w:color="auto" w:sz="4" w:space="0"/>
            </w:tcBorders>
            <w:noWrap w:val="0"/>
            <w:vAlign w:val="center"/>
          </w:tcPr>
          <w:p w14:paraId="2E10BB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10</w:t>
            </w:r>
          </w:p>
        </w:tc>
        <w:tc>
          <w:tcPr>
            <w:tcW w:w="822" w:type="dxa"/>
            <w:tcBorders>
              <w:top w:val="single" w:color="auto" w:sz="4" w:space="0"/>
              <w:left w:val="nil"/>
              <w:bottom w:val="single" w:color="auto" w:sz="4" w:space="0"/>
              <w:right w:val="single" w:color="auto" w:sz="4" w:space="0"/>
            </w:tcBorders>
            <w:noWrap w:val="0"/>
            <w:vAlign w:val="center"/>
          </w:tcPr>
          <w:p w14:paraId="62EF01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组织</w:t>
            </w:r>
          </w:p>
          <w:p w14:paraId="313445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机构</w:t>
            </w:r>
          </w:p>
        </w:tc>
        <w:tc>
          <w:tcPr>
            <w:tcW w:w="561" w:type="dxa"/>
            <w:tcBorders>
              <w:top w:val="single" w:color="auto" w:sz="4" w:space="0"/>
              <w:left w:val="nil"/>
              <w:bottom w:val="single" w:color="auto" w:sz="4" w:space="0"/>
              <w:right w:val="single" w:color="auto" w:sz="4" w:space="0"/>
            </w:tcBorders>
            <w:noWrap w:val="0"/>
            <w:vAlign w:val="center"/>
          </w:tcPr>
          <w:p w14:paraId="330A7D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1</w:t>
            </w:r>
          </w:p>
        </w:tc>
        <w:tc>
          <w:tcPr>
            <w:tcW w:w="2698" w:type="dxa"/>
            <w:tcBorders>
              <w:top w:val="single" w:color="auto" w:sz="4" w:space="0"/>
              <w:left w:val="nil"/>
              <w:bottom w:val="single" w:color="auto" w:sz="4" w:space="0"/>
              <w:right w:val="single" w:color="auto" w:sz="4" w:space="0"/>
            </w:tcBorders>
            <w:noWrap w:val="0"/>
            <w:vAlign w:val="center"/>
          </w:tcPr>
          <w:p w14:paraId="0496043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机构是否健全、分工是否明确</w:t>
            </w:r>
          </w:p>
        </w:tc>
        <w:tc>
          <w:tcPr>
            <w:tcW w:w="2682" w:type="dxa"/>
            <w:tcBorders>
              <w:top w:val="single" w:color="auto" w:sz="4" w:space="0"/>
              <w:left w:val="nil"/>
              <w:bottom w:val="single" w:color="auto" w:sz="4" w:space="0"/>
              <w:right w:val="single" w:color="auto" w:sz="4" w:space="0"/>
            </w:tcBorders>
            <w:noWrap w:val="0"/>
            <w:vAlign w:val="center"/>
          </w:tcPr>
          <w:p w14:paraId="0943876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机构健全、分工明确（</w:t>
            </w:r>
            <w:r>
              <w:rPr>
                <w:rFonts w:cs="Times New Roman"/>
                <w:color w:val="000000"/>
                <w:kern w:val="0"/>
                <w:sz w:val="24"/>
                <w:szCs w:val="24"/>
              </w:rPr>
              <w:t>1</w:t>
            </w:r>
            <w:r>
              <w:rPr>
                <w:rFonts w:hint="eastAsia" w:cs="宋体"/>
                <w:color w:val="000000"/>
                <w:kern w:val="0"/>
                <w:sz w:val="24"/>
                <w:szCs w:val="24"/>
              </w:rPr>
              <w:t>分）</w:t>
            </w:r>
          </w:p>
        </w:tc>
      </w:tr>
      <w:tr w14:paraId="1E13AB94">
        <w:tblPrEx>
          <w:tblCellMar>
            <w:top w:w="0" w:type="dxa"/>
            <w:left w:w="108" w:type="dxa"/>
            <w:bottom w:w="0" w:type="dxa"/>
            <w:right w:w="108" w:type="dxa"/>
          </w:tblCellMar>
        </w:tblPrEx>
        <w:trPr>
          <w:trHeight w:val="428"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530AA1C6">
            <w:pPr>
              <w:spacing w:line="400" w:lineRule="exact"/>
              <w:jc w:val="left"/>
              <w:rPr>
                <w:rFonts w:cs="Times New Roman"/>
                <w:color w:val="000000"/>
                <w:kern w:val="0"/>
                <w:sz w:val="24"/>
                <w:szCs w:val="24"/>
              </w:rPr>
            </w:pPr>
          </w:p>
        </w:tc>
        <w:tc>
          <w:tcPr>
            <w:tcW w:w="575" w:type="dxa"/>
            <w:vMerge w:val="continue"/>
            <w:tcBorders>
              <w:top w:val="single" w:color="auto" w:sz="4" w:space="0"/>
              <w:left w:val="single" w:color="auto" w:sz="4" w:space="0"/>
              <w:bottom w:val="single" w:color="auto" w:sz="4" w:space="0"/>
              <w:right w:val="single" w:color="auto" w:sz="4" w:space="0"/>
            </w:tcBorders>
            <w:noWrap w:val="0"/>
            <w:vAlign w:val="center"/>
          </w:tcPr>
          <w:p w14:paraId="6E812C35">
            <w:pPr>
              <w:spacing w:line="400" w:lineRule="exact"/>
              <w:jc w:val="left"/>
              <w:rPr>
                <w:rFonts w:cs="Times New Roman"/>
                <w:color w:val="000000"/>
                <w:kern w:val="0"/>
                <w:sz w:val="24"/>
                <w:szCs w:val="24"/>
              </w:rPr>
            </w:pPr>
          </w:p>
        </w:tc>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01824A5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14:paraId="773492E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822" w:type="dxa"/>
            <w:tcBorders>
              <w:top w:val="single" w:color="auto" w:sz="4" w:space="0"/>
              <w:left w:val="nil"/>
              <w:bottom w:val="single" w:color="auto" w:sz="4" w:space="0"/>
              <w:right w:val="single" w:color="auto" w:sz="4" w:space="0"/>
            </w:tcBorders>
            <w:noWrap w:val="0"/>
            <w:vAlign w:val="center"/>
          </w:tcPr>
          <w:p w14:paraId="701C99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管理</w:t>
            </w:r>
          </w:p>
          <w:p w14:paraId="1F77E9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制度</w:t>
            </w:r>
          </w:p>
        </w:tc>
        <w:tc>
          <w:tcPr>
            <w:tcW w:w="561" w:type="dxa"/>
            <w:tcBorders>
              <w:top w:val="single" w:color="auto" w:sz="4" w:space="0"/>
              <w:left w:val="nil"/>
              <w:bottom w:val="single" w:color="auto" w:sz="4" w:space="0"/>
              <w:right w:val="single" w:color="auto" w:sz="4" w:space="0"/>
            </w:tcBorders>
            <w:noWrap w:val="0"/>
            <w:vAlign w:val="center"/>
          </w:tcPr>
          <w:p w14:paraId="2AD562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9</w:t>
            </w:r>
          </w:p>
        </w:tc>
        <w:tc>
          <w:tcPr>
            <w:tcW w:w="2698" w:type="dxa"/>
            <w:tcBorders>
              <w:top w:val="single" w:color="auto" w:sz="4" w:space="0"/>
              <w:left w:val="nil"/>
              <w:bottom w:val="single" w:color="auto" w:sz="4" w:space="0"/>
              <w:right w:val="single" w:color="auto" w:sz="4" w:space="0"/>
            </w:tcBorders>
            <w:noWrap w:val="0"/>
            <w:vAlign w:val="center"/>
          </w:tcPr>
          <w:p w14:paraId="724E9E5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是否建立健全项目管理制度；是否严格执行相关项目管理制度</w:t>
            </w:r>
          </w:p>
        </w:tc>
        <w:tc>
          <w:tcPr>
            <w:tcW w:w="2682" w:type="dxa"/>
            <w:tcBorders>
              <w:top w:val="single" w:color="auto" w:sz="4" w:space="0"/>
              <w:left w:val="nil"/>
              <w:bottom w:val="single" w:color="auto" w:sz="4" w:space="0"/>
              <w:right w:val="single" w:color="auto" w:sz="4" w:space="0"/>
            </w:tcBorders>
            <w:noWrap w:val="0"/>
            <w:vAlign w:val="center"/>
          </w:tcPr>
          <w:p w14:paraId="07EBA73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建立健全项目管理制度（</w:t>
            </w:r>
            <w:r>
              <w:rPr>
                <w:rFonts w:cs="Times New Roman"/>
                <w:color w:val="000000"/>
                <w:kern w:val="0"/>
                <w:sz w:val="24"/>
                <w:szCs w:val="24"/>
              </w:rPr>
              <w:t>2</w:t>
            </w:r>
            <w:r>
              <w:rPr>
                <w:rFonts w:hint="eastAsia" w:cs="宋体"/>
                <w:color w:val="000000"/>
                <w:kern w:val="0"/>
                <w:sz w:val="24"/>
                <w:szCs w:val="24"/>
              </w:rPr>
              <w:t>分）；严格执行相关项目管理制度（</w:t>
            </w:r>
            <w:r>
              <w:rPr>
                <w:rFonts w:cs="Times New Roman"/>
                <w:color w:val="000000"/>
                <w:kern w:val="0"/>
                <w:sz w:val="24"/>
                <w:szCs w:val="24"/>
              </w:rPr>
              <w:t>7</w:t>
            </w:r>
            <w:r>
              <w:rPr>
                <w:rFonts w:hint="eastAsia" w:cs="宋体"/>
                <w:color w:val="000000"/>
                <w:kern w:val="0"/>
                <w:sz w:val="24"/>
                <w:szCs w:val="24"/>
              </w:rPr>
              <w:t>分）</w:t>
            </w:r>
          </w:p>
        </w:tc>
      </w:tr>
      <w:tr w14:paraId="06F928A1">
        <w:tblPrEx>
          <w:tblCellMar>
            <w:top w:w="0" w:type="dxa"/>
            <w:left w:w="108" w:type="dxa"/>
            <w:bottom w:w="0" w:type="dxa"/>
            <w:right w:w="108" w:type="dxa"/>
          </w:tblCellMar>
        </w:tblPrEx>
        <w:trPr>
          <w:trHeight w:val="454" w:hRule="atLeast"/>
          <w:jc w:val="center"/>
        </w:trPr>
        <w:tc>
          <w:tcPr>
            <w:tcW w:w="606" w:type="dxa"/>
            <w:vMerge w:val="restart"/>
            <w:tcBorders>
              <w:top w:val="single" w:color="auto" w:sz="4" w:space="0"/>
              <w:left w:val="single" w:color="auto" w:sz="4" w:space="0"/>
              <w:right w:val="single" w:color="auto" w:sz="4" w:space="0"/>
            </w:tcBorders>
            <w:noWrap w:val="0"/>
            <w:vAlign w:val="center"/>
          </w:tcPr>
          <w:p w14:paraId="45BD3C61">
            <w:pPr>
              <w:spacing w:line="400" w:lineRule="exact"/>
              <w:jc w:val="center"/>
              <w:rPr>
                <w:rFonts w:cs="Times New Roman"/>
                <w:color w:val="000000"/>
                <w:kern w:val="0"/>
                <w:sz w:val="24"/>
                <w:szCs w:val="24"/>
              </w:rPr>
            </w:pPr>
            <w:r>
              <w:rPr>
                <w:rFonts w:hint="eastAsia" w:cs="宋体"/>
                <w:color w:val="000000"/>
                <w:kern w:val="0"/>
                <w:sz w:val="24"/>
                <w:szCs w:val="24"/>
              </w:rPr>
              <w:t>项目产出</w:t>
            </w:r>
          </w:p>
        </w:tc>
        <w:tc>
          <w:tcPr>
            <w:tcW w:w="575" w:type="dxa"/>
            <w:vMerge w:val="restart"/>
            <w:tcBorders>
              <w:top w:val="single" w:color="auto" w:sz="4" w:space="0"/>
              <w:left w:val="single" w:color="auto" w:sz="4" w:space="0"/>
              <w:right w:val="single" w:color="auto" w:sz="4" w:space="0"/>
            </w:tcBorders>
            <w:noWrap w:val="0"/>
            <w:vAlign w:val="center"/>
          </w:tcPr>
          <w:p w14:paraId="32FEB262">
            <w:pPr>
              <w:spacing w:line="400" w:lineRule="exact"/>
              <w:jc w:val="center"/>
              <w:rPr>
                <w:rFonts w:cs="Times New Roman"/>
                <w:color w:val="000000"/>
                <w:kern w:val="0"/>
                <w:sz w:val="24"/>
                <w:szCs w:val="24"/>
              </w:rPr>
            </w:pPr>
            <w:r>
              <w:rPr>
                <w:rFonts w:hint="eastAsia" w:cs="Times New Roman"/>
                <w:color w:val="000000"/>
                <w:kern w:val="0"/>
                <w:sz w:val="24"/>
                <w:szCs w:val="24"/>
              </w:rPr>
              <w:t>15</w:t>
            </w:r>
          </w:p>
        </w:tc>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14:paraId="1BB543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项目产出</w:t>
            </w:r>
          </w:p>
        </w:tc>
        <w:tc>
          <w:tcPr>
            <w:tcW w:w="561" w:type="dxa"/>
            <w:vMerge w:val="restart"/>
            <w:tcBorders>
              <w:top w:val="single" w:color="auto" w:sz="4" w:space="0"/>
              <w:left w:val="single" w:color="auto" w:sz="4" w:space="0"/>
              <w:bottom w:val="single" w:color="auto" w:sz="4" w:space="0"/>
              <w:right w:val="single" w:color="auto" w:sz="4" w:space="0"/>
            </w:tcBorders>
            <w:noWrap w:val="0"/>
            <w:vAlign w:val="center"/>
          </w:tcPr>
          <w:p w14:paraId="01BC0C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15</w:t>
            </w:r>
          </w:p>
        </w:tc>
        <w:tc>
          <w:tcPr>
            <w:tcW w:w="822" w:type="dxa"/>
            <w:tcBorders>
              <w:top w:val="single" w:color="auto" w:sz="4" w:space="0"/>
              <w:left w:val="nil"/>
              <w:bottom w:val="single" w:color="auto" w:sz="4" w:space="0"/>
              <w:right w:val="single" w:color="auto" w:sz="4" w:space="0"/>
            </w:tcBorders>
            <w:noWrap w:val="0"/>
            <w:vAlign w:val="center"/>
          </w:tcPr>
          <w:p w14:paraId="4C2E42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产出</w:t>
            </w:r>
          </w:p>
          <w:p w14:paraId="47669D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数量</w:t>
            </w:r>
          </w:p>
        </w:tc>
        <w:tc>
          <w:tcPr>
            <w:tcW w:w="561" w:type="dxa"/>
            <w:tcBorders>
              <w:top w:val="single" w:color="auto" w:sz="4" w:space="0"/>
              <w:left w:val="nil"/>
              <w:bottom w:val="single" w:color="auto" w:sz="4" w:space="0"/>
              <w:right w:val="single" w:color="auto" w:sz="4" w:space="0"/>
            </w:tcBorders>
            <w:noWrap w:val="0"/>
            <w:vAlign w:val="center"/>
          </w:tcPr>
          <w:p w14:paraId="6F427A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 xml:space="preserve">5 </w:t>
            </w:r>
          </w:p>
        </w:tc>
        <w:tc>
          <w:tcPr>
            <w:tcW w:w="2698" w:type="dxa"/>
            <w:tcBorders>
              <w:top w:val="single" w:color="auto" w:sz="4" w:space="0"/>
              <w:left w:val="nil"/>
              <w:bottom w:val="single" w:color="auto" w:sz="4" w:space="0"/>
              <w:right w:val="single" w:color="auto" w:sz="4" w:space="0"/>
            </w:tcBorders>
            <w:noWrap w:val="0"/>
            <w:vAlign w:val="center"/>
          </w:tcPr>
          <w:p w14:paraId="1984D3B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eastAsia="仿宋_GB2312" w:cs="Times New Roman"/>
                <w:color w:val="000000"/>
                <w:kern w:val="0"/>
                <w:sz w:val="24"/>
                <w:szCs w:val="24"/>
                <w:lang w:val="en-US" w:eastAsia="zh-CN"/>
              </w:rPr>
            </w:pPr>
            <w:r>
              <w:rPr>
                <w:rFonts w:hint="eastAsia" w:cs="Times New Roman"/>
                <w:color w:val="000000"/>
                <w:kern w:val="0"/>
                <w:sz w:val="24"/>
                <w:szCs w:val="24"/>
              </w:rPr>
              <w:t>防控草履蚧</w:t>
            </w:r>
            <w:r>
              <w:rPr>
                <w:rFonts w:hint="eastAsia" w:cs="Times New Roman"/>
                <w:color w:val="000000"/>
                <w:kern w:val="0"/>
                <w:sz w:val="24"/>
                <w:szCs w:val="24"/>
                <w:lang w:val="en-US" w:eastAsia="zh-CN"/>
              </w:rPr>
              <w:t>4</w:t>
            </w:r>
            <w:r>
              <w:rPr>
                <w:rFonts w:hint="eastAsia" w:cs="Times New Roman"/>
                <w:color w:val="000000"/>
                <w:kern w:val="0"/>
                <w:sz w:val="24"/>
                <w:szCs w:val="24"/>
              </w:rPr>
              <w:t>000亩</w:t>
            </w:r>
            <w:r>
              <w:rPr>
                <w:rFonts w:hint="eastAsia" w:cs="Times New Roman"/>
                <w:color w:val="000000"/>
                <w:kern w:val="0"/>
                <w:sz w:val="24"/>
                <w:szCs w:val="24"/>
                <w:lang w:eastAsia="zh-CN"/>
              </w:rPr>
              <w:t>，清理侧柏枯死木</w:t>
            </w:r>
            <w:r>
              <w:rPr>
                <w:rFonts w:hint="eastAsia" w:cs="Times New Roman"/>
                <w:color w:val="000000"/>
                <w:kern w:val="0"/>
                <w:sz w:val="24"/>
                <w:szCs w:val="24"/>
                <w:lang w:val="en-US" w:eastAsia="zh-CN"/>
              </w:rPr>
              <w:t>1万亩</w:t>
            </w:r>
          </w:p>
        </w:tc>
        <w:tc>
          <w:tcPr>
            <w:tcW w:w="2682" w:type="dxa"/>
            <w:tcBorders>
              <w:top w:val="single" w:color="auto" w:sz="4" w:space="0"/>
              <w:left w:val="nil"/>
              <w:bottom w:val="single" w:color="auto" w:sz="4" w:space="0"/>
              <w:right w:val="single" w:color="auto" w:sz="4" w:space="0"/>
            </w:tcBorders>
            <w:noWrap w:val="0"/>
            <w:vAlign w:val="center"/>
          </w:tcPr>
          <w:p w14:paraId="300A39A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对照绩效目标评价产出数量（</w:t>
            </w:r>
            <w:r>
              <w:rPr>
                <w:rFonts w:cs="Times New Roman"/>
                <w:color w:val="000000"/>
                <w:kern w:val="0"/>
                <w:sz w:val="24"/>
                <w:szCs w:val="24"/>
              </w:rPr>
              <w:t>5</w:t>
            </w:r>
            <w:r>
              <w:rPr>
                <w:rFonts w:hint="eastAsia" w:cs="宋体"/>
                <w:color w:val="000000"/>
                <w:kern w:val="0"/>
                <w:sz w:val="24"/>
                <w:szCs w:val="24"/>
              </w:rPr>
              <w:t>分）</w:t>
            </w:r>
          </w:p>
        </w:tc>
      </w:tr>
      <w:tr w14:paraId="0B18A74C">
        <w:tblPrEx>
          <w:tblCellMar>
            <w:top w:w="0" w:type="dxa"/>
            <w:left w:w="108" w:type="dxa"/>
            <w:bottom w:w="0" w:type="dxa"/>
            <w:right w:w="108" w:type="dxa"/>
          </w:tblCellMar>
        </w:tblPrEx>
        <w:trPr>
          <w:trHeight w:val="454" w:hRule="atLeast"/>
          <w:jc w:val="center"/>
        </w:trPr>
        <w:tc>
          <w:tcPr>
            <w:tcW w:w="606" w:type="dxa"/>
            <w:vMerge w:val="continue"/>
            <w:tcBorders>
              <w:left w:val="single" w:color="auto" w:sz="4" w:space="0"/>
              <w:right w:val="single" w:color="auto" w:sz="4" w:space="0"/>
            </w:tcBorders>
            <w:noWrap w:val="0"/>
            <w:vAlign w:val="center"/>
          </w:tcPr>
          <w:p w14:paraId="5163CE39">
            <w:pPr>
              <w:spacing w:line="400" w:lineRule="exact"/>
              <w:jc w:val="left"/>
              <w:rPr>
                <w:rFonts w:cs="Times New Roman"/>
                <w:color w:val="000000"/>
                <w:kern w:val="0"/>
                <w:sz w:val="24"/>
                <w:szCs w:val="24"/>
              </w:rPr>
            </w:pPr>
          </w:p>
        </w:tc>
        <w:tc>
          <w:tcPr>
            <w:tcW w:w="575" w:type="dxa"/>
            <w:vMerge w:val="continue"/>
            <w:tcBorders>
              <w:left w:val="single" w:color="auto" w:sz="4" w:space="0"/>
              <w:right w:val="single" w:color="auto" w:sz="4" w:space="0"/>
            </w:tcBorders>
            <w:noWrap w:val="0"/>
            <w:vAlign w:val="center"/>
          </w:tcPr>
          <w:p w14:paraId="53F1DFED">
            <w:pPr>
              <w:spacing w:line="400" w:lineRule="exact"/>
              <w:jc w:val="left"/>
              <w:rPr>
                <w:rFonts w:cs="Times New Roman"/>
                <w:color w:val="000000"/>
                <w:kern w:val="0"/>
                <w:sz w:val="24"/>
                <w:szCs w:val="24"/>
              </w:rPr>
            </w:pPr>
          </w:p>
        </w:tc>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1E20476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14:paraId="068E6D4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822" w:type="dxa"/>
            <w:tcBorders>
              <w:top w:val="single" w:color="auto" w:sz="4" w:space="0"/>
              <w:left w:val="nil"/>
              <w:bottom w:val="single" w:color="auto" w:sz="4" w:space="0"/>
              <w:right w:val="single" w:color="auto" w:sz="4" w:space="0"/>
            </w:tcBorders>
            <w:noWrap w:val="0"/>
            <w:vAlign w:val="center"/>
          </w:tcPr>
          <w:p w14:paraId="2E516A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产出</w:t>
            </w:r>
          </w:p>
          <w:p w14:paraId="08D526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质量</w:t>
            </w:r>
          </w:p>
        </w:tc>
        <w:tc>
          <w:tcPr>
            <w:tcW w:w="561" w:type="dxa"/>
            <w:tcBorders>
              <w:top w:val="single" w:color="auto" w:sz="4" w:space="0"/>
              <w:left w:val="nil"/>
              <w:bottom w:val="single" w:color="auto" w:sz="4" w:space="0"/>
              <w:right w:val="single" w:color="auto" w:sz="4" w:space="0"/>
            </w:tcBorders>
            <w:noWrap w:val="0"/>
            <w:vAlign w:val="center"/>
          </w:tcPr>
          <w:p w14:paraId="3B4AA3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 xml:space="preserve">4 </w:t>
            </w:r>
          </w:p>
        </w:tc>
        <w:tc>
          <w:tcPr>
            <w:tcW w:w="2698" w:type="dxa"/>
            <w:tcBorders>
              <w:top w:val="single" w:color="auto" w:sz="4" w:space="0"/>
              <w:left w:val="nil"/>
              <w:bottom w:val="single" w:color="auto" w:sz="4" w:space="0"/>
              <w:right w:val="single" w:color="auto" w:sz="4" w:space="0"/>
            </w:tcBorders>
            <w:noWrap w:val="0"/>
            <w:vAlign w:val="center"/>
          </w:tcPr>
          <w:p w14:paraId="4F3D593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Times New Roman"/>
                <w:color w:val="000000"/>
                <w:kern w:val="0"/>
                <w:sz w:val="24"/>
                <w:szCs w:val="24"/>
              </w:rPr>
              <w:t>叶片平均保存率≥90%</w:t>
            </w:r>
          </w:p>
        </w:tc>
        <w:tc>
          <w:tcPr>
            <w:tcW w:w="2682" w:type="dxa"/>
            <w:tcBorders>
              <w:top w:val="single" w:color="auto" w:sz="4" w:space="0"/>
              <w:left w:val="nil"/>
              <w:bottom w:val="single" w:color="auto" w:sz="4" w:space="0"/>
              <w:right w:val="single" w:color="auto" w:sz="4" w:space="0"/>
            </w:tcBorders>
            <w:noWrap w:val="0"/>
            <w:vAlign w:val="center"/>
          </w:tcPr>
          <w:p w14:paraId="65A3BD2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对照绩效目标评价产出质量（</w:t>
            </w:r>
            <w:r>
              <w:rPr>
                <w:rFonts w:cs="Times New Roman"/>
                <w:color w:val="000000"/>
                <w:kern w:val="0"/>
                <w:sz w:val="24"/>
                <w:szCs w:val="24"/>
              </w:rPr>
              <w:t>4</w:t>
            </w:r>
            <w:r>
              <w:rPr>
                <w:rFonts w:hint="eastAsia" w:cs="宋体"/>
                <w:color w:val="000000"/>
                <w:kern w:val="0"/>
                <w:sz w:val="24"/>
                <w:szCs w:val="24"/>
              </w:rPr>
              <w:t>分）</w:t>
            </w:r>
          </w:p>
        </w:tc>
      </w:tr>
      <w:tr w14:paraId="218E4AB3">
        <w:tblPrEx>
          <w:tblCellMar>
            <w:top w:w="0" w:type="dxa"/>
            <w:left w:w="108" w:type="dxa"/>
            <w:bottom w:w="0" w:type="dxa"/>
            <w:right w:w="108" w:type="dxa"/>
          </w:tblCellMar>
        </w:tblPrEx>
        <w:trPr>
          <w:trHeight w:val="454" w:hRule="atLeast"/>
          <w:jc w:val="center"/>
        </w:trPr>
        <w:tc>
          <w:tcPr>
            <w:tcW w:w="606" w:type="dxa"/>
            <w:vMerge w:val="continue"/>
            <w:tcBorders>
              <w:left w:val="single" w:color="auto" w:sz="4" w:space="0"/>
              <w:right w:val="single" w:color="auto" w:sz="4" w:space="0"/>
            </w:tcBorders>
            <w:noWrap w:val="0"/>
            <w:vAlign w:val="center"/>
          </w:tcPr>
          <w:p w14:paraId="0A66420A">
            <w:pPr>
              <w:spacing w:line="400" w:lineRule="exact"/>
              <w:jc w:val="left"/>
              <w:rPr>
                <w:rFonts w:cs="Times New Roman"/>
                <w:color w:val="000000"/>
                <w:kern w:val="0"/>
                <w:sz w:val="24"/>
                <w:szCs w:val="24"/>
              </w:rPr>
            </w:pPr>
          </w:p>
        </w:tc>
        <w:tc>
          <w:tcPr>
            <w:tcW w:w="575" w:type="dxa"/>
            <w:vMerge w:val="continue"/>
            <w:tcBorders>
              <w:left w:val="single" w:color="auto" w:sz="4" w:space="0"/>
              <w:right w:val="single" w:color="auto" w:sz="4" w:space="0"/>
            </w:tcBorders>
            <w:noWrap w:val="0"/>
            <w:vAlign w:val="center"/>
          </w:tcPr>
          <w:p w14:paraId="1F03EF56">
            <w:pPr>
              <w:spacing w:line="400" w:lineRule="exact"/>
              <w:jc w:val="left"/>
              <w:rPr>
                <w:rFonts w:cs="Times New Roman"/>
                <w:color w:val="000000"/>
                <w:kern w:val="0"/>
                <w:sz w:val="24"/>
                <w:szCs w:val="24"/>
              </w:rPr>
            </w:pPr>
          </w:p>
        </w:tc>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136DED7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14:paraId="682A210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822" w:type="dxa"/>
            <w:tcBorders>
              <w:top w:val="single" w:color="auto" w:sz="4" w:space="0"/>
              <w:left w:val="nil"/>
              <w:bottom w:val="single" w:color="auto" w:sz="4" w:space="0"/>
              <w:right w:val="single" w:color="auto" w:sz="4" w:space="0"/>
            </w:tcBorders>
            <w:noWrap w:val="0"/>
            <w:vAlign w:val="center"/>
          </w:tcPr>
          <w:p w14:paraId="26FE39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产出</w:t>
            </w:r>
          </w:p>
          <w:p w14:paraId="16CA82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时效</w:t>
            </w:r>
          </w:p>
        </w:tc>
        <w:tc>
          <w:tcPr>
            <w:tcW w:w="561" w:type="dxa"/>
            <w:tcBorders>
              <w:top w:val="single" w:color="auto" w:sz="4" w:space="0"/>
              <w:left w:val="nil"/>
              <w:bottom w:val="single" w:color="auto" w:sz="4" w:space="0"/>
              <w:right w:val="single" w:color="auto" w:sz="4" w:space="0"/>
            </w:tcBorders>
            <w:noWrap w:val="0"/>
            <w:vAlign w:val="center"/>
          </w:tcPr>
          <w:p w14:paraId="5AE3AF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3</w:t>
            </w:r>
          </w:p>
        </w:tc>
        <w:tc>
          <w:tcPr>
            <w:tcW w:w="2698" w:type="dxa"/>
            <w:tcBorders>
              <w:top w:val="single" w:color="auto" w:sz="4" w:space="0"/>
              <w:left w:val="nil"/>
              <w:bottom w:val="single" w:color="auto" w:sz="4" w:space="0"/>
              <w:right w:val="single" w:color="auto" w:sz="4" w:space="0"/>
            </w:tcBorders>
            <w:noWrap w:val="0"/>
            <w:vAlign w:val="center"/>
          </w:tcPr>
          <w:p w14:paraId="74DE4BB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Times New Roman"/>
                <w:color w:val="000000"/>
                <w:kern w:val="0"/>
                <w:sz w:val="24"/>
                <w:szCs w:val="24"/>
              </w:rPr>
              <w:t>防治持续时间1年</w:t>
            </w:r>
          </w:p>
        </w:tc>
        <w:tc>
          <w:tcPr>
            <w:tcW w:w="2682" w:type="dxa"/>
            <w:tcBorders>
              <w:top w:val="single" w:color="auto" w:sz="4" w:space="0"/>
              <w:left w:val="nil"/>
              <w:bottom w:val="single" w:color="auto" w:sz="4" w:space="0"/>
              <w:right w:val="single" w:color="auto" w:sz="4" w:space="0"/>
            </w:tcBorders>
            <w:noWrap w:val="0"/>
            <w:vAlign w:val="center"/>
          </w:tcPr>
          <w:p w14:paraId="3A6A5EE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对照绩效目标评价产出时效（</w:t>
            </w:r>
            <w:r>
              <w:rPr>
                <w:rFonts w:cs="Times New Roman"/>
                <w:color w:val="000000"/>
                <w:kern w:val="0"/>
                <w:sz w:val="24"/>
                <w:szCs w:val="24"/>
              </w:rPr>
              <w:t>3</w:t>
            </w:r>
            <w:r>
              <w:rPr>
                <w:rFonts w:hint="eastAsia" w:cs="宋体"/>
                <w:color w:val="000000"/>
                <w:kern w:val="0"/>
                <w:sz w:val="24"/>
                <w:szCs w:val="24"/>
              </w:rPr>
              <w:t>分）</w:t>
            </w:r>
          </w:p>
        </w:tc>
      </w:tr>
      <w:tr w14:paraId="78DFE196">
        <w:tblPrEx>
          <w:tblCellMar>
            <w:top w:w="0" w:type="dxa"/>
            <w:left w:w="108" w:type="dxa"/>
            <w:bottom w:w="0" w:type="dxa"/>
            <w:right w:w="108" w:type="dxa"/>
          </w:tblCellMar>
        </w:tblPrEx>
        <w:trPr>
          <w:trHeight w:val="454" w:hRule="atLeast"/>
          <w:jc w:val="center"/>
        </w:trPr>
        <w:tc>
          <w:tcPr>
            <w:tcW w:w="606" w:type="dxa"/>
            <w:vMerge w:val="continue"/>
            <w:tcBorders>
              <w:left w:val="single" w:color="auto" w:sz="4" w:space="0"/>
              <w:bottom w:val="single" w:color="auto" w:sz="4" w:space="0"/>
              <w:right w:val="single" w:color="auto" w:sz="4" w:space="0"/>
            </w:tcBorders>
            <w:noWrap w:val="0"/>
            <w:vAlign w:val="center"/>
          </w:tcPr>
          <w:p w14:paraId="336BD9FA">
            <w:pPr>
              <w:spacing w:line="400" w:lineRule="exact"/>
              <w:jc w:val="left"/>
              <w:rPr>
                <w:rFonts w:cs="Times New Roman"/>
                <w:color w:val="000000"/>
                <w:kern w:val="0"/>
                <w:sz w:val="24"/>
                <w:szCs w:val="24"/>
              </w:rPr>
            </w:pPr>
          </w:p>
        </w:tc>
        <w:tc>
          <w:tcPr>
            <w:tcW w:w="575" w:type="dxa"/>
            <w:vMerge w:val="continue"/>
            <w:tcBorders>
              <w:left w:val="single" w:color="auto" w:sz="4" w:space="0"/>
              <w:bottom w:val="single" w:color="auto" w:sz="4" w:space="0"/>
              <w:right w:val="single" w:color="auto" w:sz="4" w:space="0"/>
            </w:tcBorders>
            <w:noWrap w:val="0"/>
            <w:vAlign w:val="center"/>
          </w:tcPr>
          <w:p w14:paraId="33FC23D1">
            <w:pPr>
              <w:spacing w:line="400" w:lineRule="exact"/>
              <w:jc w:val="left"/>
              <w:rPr>
                <w:rFonts w:cs="Times New Roman"/>
                <w:color w:val="000000"/>
                <w:kern w:val="0"/>
                <w:sz w:val="24"/>
                <w:szCs w:val="24"/>
              </w:rPr>
            </w:pPr>
          </w:p>
        </w:tc>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12FED18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14:paraId="24ABD93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822" w:type="dxa"/>
            <w:tcBorders>
              <w:top w:val="single" w:color="auto" w:sz="4" w:space="0"/>
              <w:left w:val="nil"/>
              <w:bottom w:val="single" w:color="auto" w:sz="4" w:space="0"/>
              <w:right w:val="single" w:color="auto" w:sz="4" w:space="0"/>
            </w:tcBorders>
            <w:noWrap w:val="0"/>
            <w:vAlign w:val="center"/>
          </w:tcPr>
          <w:p w14:paraId="102FA8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产出</w:t>
            </w:r>
          </w:p>
          <w:p w14:paraId="6E967B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成本</w:t>
            </w:r>
          </w:p>
        </w:tc>
        <w:tc>
          <w:tcPr>
            <w:tcW w:w="561" w:type="dxa"/>
            <w:tcBorders>
              <w:top w:val="single" w:color="auto" w:sz="4" w:space="0"/>
              <w:left w:val="nil"/>
              <w:bottom w:val="single" w:color="auto" w:sz="4" w:space="0"/>
              <w:right w:val="single" w:color="auto" w:sz="4" w:space="0"/>
            </w:tcBorders>
            <w:noWrap w:val="0"/>
            <w:vAlign w:val="center"/>
          </w:tcPr>
          <w:p w14:paraId="5BEF1F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3</w:t>
            </w:r>
          </w:p>
        </w:tc>
        <w:tc>
          <w:tcPr>
            <w:tcW w:w="2698" w:type="dxa"/>
            <w:tcBorders>
              <w:top w:val="single" w:color="auto" w:sz="4" w:space="0"/>
              <w:left w:val="nil"/>
              <w:bottom w:val="single" w:color="auto" w:sz="4" w:space="0"/>
              <w:right w:val="single" w:color="auto" w:sz="4" w:space="0"/>
            </w:tcBorders>
            <w:noWrap w:val="0"/>
            <w:vAlign w:val="center"/>
          </w:tcPr>
          <w:p w14:paraId="696862D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宋体"/>
                <w:color w:val="000000"/>
                <w:kern w:val="0"/>
                <w:sz w:val="24"/>
                <w:szCs w:val="24"/>
                <w:lang w:eastAsia="zh-CN"/>
              </w:rPr>
            </w:pPr>
            <w:r>
              <w:rPr>
                <w:rFonts w:hint="default" w:ascii="Times New Roman" w:hAnsi="Times New Roman" w:cs="宋体"/>
                <w:color w:val="000000"/>
                <w:kern w:val="0"/>
                <w:sz w:val="24"/>
                <w:szCs w:val="24"/>
                <w:lang w:eastAsia="zh-CN"/>
              </w:rPr>
              <w:t>地面防治林业有害生物≤140元/公里</w:t>
            </w:r>
            <w:r>
              <w:rPr>
                <w:rFonts w:hint="eastAsia" w:ascii="Times New Roman" w:hAnsi="Times New Roman" w:cs="宋体"/>
                <w:color w:val="000000"/>
                <w:kern w:val="0"/>
                <w:sz w:val="24"/>
                <w:szCs w:val="24"/>
                <w:lang w:eastAsia="zh-CN"/>
              </w:rPr>
              <w:t>；</w:t>
            </w:r>
            <w:r>
              <w:rPr>
                <w:rFonts w:hint="default" w:ascii="Times New Roman" w:hAnsi="Times New Roman" w:cs="宋体"/>
                <w:color w:val="000000"/>
                <w:kern w:val="0"/>
                <w:sz w:val="24"/>
                <w:szCs w:val="24"/>
                <w:lang w:eastAsia="zh-CN"/>
              </w:rPr>
              <w:t>防治草履蚧≤40元/亩</w:t>
            </w:r>
          </w:p>
          <w:p w14:paraId="14265EC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2682" w:type="dxa"/>
            <w:tcBorders>
              <w:top w:val="single" w:color="auto" w:sz="4" w:space="0"/>
              <w:left w:val="nil"/>
              <w:bottom w:val="single" w:color="auto" w:sz="4" w:space="0"/>
              <w:right w:val="single" w:color="auto" w:sz="4" w:space="0"/>
            </w:tcBorders>
            <w:noWrap w:val="0"/>
            <w:vAlign w:val="center"/>
          </w:tcPr>
          <w:p w14:paraId="6AB15EF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对照绩效目标评价产出成本（</w:t>
            </w:r>
            <w:r>
              <w:rPr>
                <w:rFonts w:cs="Times New Roman"/>
                <w:color w:val="000000"/>
                <w:kern w:val="0"/>
                <w:sz w:val="24"/>
                <w:szCs w:val="24"/>
              </w:rPr>
              <w:t>3</w:t>
            </w:r>
            <w:r>
              <w:rPr>
                <w:rFonts w:hint="eastAsia" w:cs="宋体"/>
                <w:color w:val="000000"/>
                <w:kern w:val="0"/>
                <w:sz w:val="24"/>
                <w:szCs w:val="24"/>
              </w:rPr>
              <w:t>分）</w:t>
            </w:r>
          </w:p>
        </w:tc>
      </w:tr>
      <w:tr w14:paraId="58143D37">
        <w:tblPrEx>
          <w:tblCellMar>
            <w:top w:w="0" w:type="dxa"/>
            <w:left w:w="108" w:type="dxa"/>
            <w:bottom w:w="0" w:type="dxa"/>
            <w:right w:w="108" w:type="dxa"/>
          </w:tblCellMar>
        </w:tblPrEx>
        <w:trPr>
          <w:trHeight w:val="454" w:hRule="atLeast"/>
          <w:jc w:val="center"/>
        </w:trPr>
        <w:tc>
          <w:tcPr>
            <w:tcW w:w="606" w:type="dxa"/>
            <w:vMerge w:val="restart"/>
            <w:tcBorders>
              <w:top w:val="single" w:color="auto" w:sz="4" w:space="0"/>
              <w:left w:val="single" w:color="auto" w:sz="4" w:space="0"/>
              <w:right w:val="single" w:color="auto" w:sz="4" w:space="0"/>
            </w:tcBorders>
            <w:noWrap w:val="0"/>
            <w:vAlign w:val="center"/>
          </w:tcPr>
          <w:p w14:paraId="3739113E">
            <w:pPr>
              <w:spacing w:line="400" w:lineRule="exact"/>
              <w:jc w:val="left"/>
              <w:rPr>
                <w:rFonts w:cs="Times New Roman"/>
                <w:color w:val="000000"/>
                <w:kern w:val="0"/>
                <w:sz w:val="24"/>
                <w:szCs w:val="24"/>
              </w:rPr>
            </w:pPr>
            <w:r>
              <w:rPr>
                <w:rFonts w:hint="eastAsia" w:cs="宋体"/>
                <w:color w:val="000000"/>
                <w:kern w:val="0"/>
                <w:sz w:val="24"/>
                <w:szCs w:val="24"/>
              </w:rPr>
              <w:t>项目效益</w:t>
            </w:r>
          </w:p>
        </w:tc>
        <w:tc>
          <w:tcPr>
            <w:tcW w:w="575" w:type="dxa"/>
            <w:vMerge w:val="restart"/>
            <w:tcBorders>
              <w:top w:val="single" w:color="auto" w:sz="4" w:space="0"/>
              <w:left w:val="single" w:color="auto" w:sz="4" w:space="0"/>
              <w:right w:val="single" w:color="auto" w:sz="4" w:space="0"/>
            </w:tcBorders>
            <w:noWrap w:val="0"/>
            <w:vAlign w:val="center"/>
          </w:tcPr>
          <w:p w14:paraId="1D31008D">
            <w:pPr>
              <w:spacing w:line="400" w:lineRule="exact"/>
              <w:jc w:val="left"/>
              <w:rPr>
                <w:rFonts w:cs="Times New Roman"/>
                <w:color w:val="000000"/>
                <w:kern w:val="0"/>
                <w:sz w:val="24"/>
                <w:szCs w:val="24"/>
              </w:rPr>
            </w:pPr>
            <w:r>
              <w:rPr>
                <w:rFonts w:hint="eastAsia" w:cs="Times New Roman"/>
                <w:color w:val="000000"/>
                <w:kern w:val="0"/>
                <w:sz w:val="24"/>
                <w:szCs w:val="24"/>
              </w:rPr>
              <w:t>40</w:t>
            </w:r>
          </w:p>
        </w:tc>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14:paraId="34EDE6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项目效果</w:t>
            </w:r>
          </w:p>
        </w:tc>
        <w:tc>
          <w:tcPr>
            <w:tcW w:w="561" w:type="dxa"/>
            <w:vMerge w:val="restart"/>
            <w:tcBorders>
              <w:top w:val="single" w:color="auto" w:sz="4" w:space="0"/>
              <w:left w:val="single" w:color="auto" w:sz="4" w:space="0"/>
              <w:bottom w:val="single" w:color="auto" w:sz="4" w:space="0"/>
              <w:right w:val="single" w:color="auto" w:sz="4" w:space="0"/>
            </w:tcBorders>
            <w:noWrap w:val="0"/>
            <w:vAlign w:val="center"/>
          </w:tcPr>
          <w:p w14:paraId="036DFC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40</w:t>
            </w:r>
          </w:p>
        </w:tc>
        <w:tc>
          <w:tcPr>
            <w:tcW w:w="822" w:type="dxa"/>
            <w:tcBorders>
              <w:top w:val="single" w:color="auto" w:sz="4" w:space="0"/>
              <w:left w:val="nil"/>
              <w:bottom w:val="single" w:color="auto" w:sz="4" w:space="0"/>
              <w:right w:val="single" w:color="auto" w:sz="4" w:space="0"/>
            </w:tcBorders>
            <w:noWrap w:val="0"/>
            <w:vAlign w:val="center"/>
          </w:tcPr>
          <w:p w14:paraId="3EA854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经济</w:t>
            </w:r>
          </w:p>
          <w:p w14:paraId="273458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效益</w:t>
            </w:r>
          </w:p>
        </w:tc>
        <w:tc>
          <w:tcPr>
            <w:tcW w:w="561" w:type="dxa"/>
            <w:tcBorders>
              <w:top w:val="single" w:color="auto" w:sz="4" w:space="0"/>
              <w:left w:val="nil"/>
              <w:bottom w:val="single" w:color="auto" w:sz="4" w:space="0"/>
              <w:right w:val="single" w:color="auto" w:sz="4" w:space="0"/>
            </w:tcBorders>
            <w:noWrap w:val="0"/>
            <w:vAlign w:val="center"/>
          </w:tcPr>
          <w:p w14:paraId="0861DA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8</w:t>
            </w:r>
          </w:p>
        </w:tc>
        <w:tc>
          <w:tcPr>
            <w:tcW w:w="2698" w:type="dxa"/>
            <w:tcBorders>
              <w:top w:val="single" w:color="auto" w:sz="4" w:space="0"/>
              <w:left w:val="nil"/>
              <w:bottom w:val="single" w:color="auto" w:sz="4" w:space="0"/>
              <w:right w:val="single" w:color="auto" w:sz="4" w:space="0"/>
            </w:tcBorders>
            <w:noWrap w:val="0"/>
            <w:vAlign w:val="center"/>
          </w:tcPr>
          <w:p w14:paraId="2CA52C5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项目实施是否产生直接或间接经济效益</w:t>
            </w:r>
          </w:p>
        </w:tc>
        <w:tc>
          <w:tcPr>
            <w:tcW w:w="2682" w:type="dxa"/>
            <w:tcBorders>
              <w:top w:val="single" w:color="auto" w:sz="4" w:space="0"/>
              <w:left w:val="nil"/>
              <w:bottom w:val="single" w:color="auto" w:sz="4" w:space="0"/>
              <w:right w:val="single" w:color="auto" w:sz="4" w:space="0"/>
            </w:tcBorders>
            <w:noWrap w:val="0"/>
            <w:vAlign w:val="center"/>
          </w:tcPr>
          <w:p w14:paraId="528DC31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对照绩效目标评价经济效益（</w:t>
            </w:r>
            <w:r>
              <w:rPr>
                <w:rFonts w:cs="Times New Roman"/>
                <w:color w:val="000000"/>
                <w:kern w:val="0"/>
                <w:sz w:val="24"/>
                <w:szCs w:val="24"/>
              </w:rPr>
              <w:t>8</w:t>
            </w:r>
            <w:r>
              <w:rPr>
                <w:rFonts w:hint="eastAsia" w:cs="宋体"/>
                <w:color w:val="000000"/>
                <w:kern w:val="0"/>
                <w:sz w:val="24"/>
                <w:szCs w:val="24"/>
              </w:rPr>
              <w:t>分）</w:t>
            </w:r>
          </w:p>
        </w:tc>
      </w:tr>
      <w:tr w14:paraId="25CC105E">
        <w:tblPrEx>
          <w:tblCellMar>
            <w:top w:w="0" w:type="dxa"/>
            <w:left w:w="108" w:type="dxa"/>
            <w:bottom w:w="0" w:type="dxa"/>
            <w:right w:w="108" w:type="dxa"/>
          </w:tblCellMar>
        </w:tblPrEx>
        <w:trPr>
          <w:trHeight w:val="454" w:hRule="atLeast"/>
          <w:jc w:val="center"/>
        </w:trPr>
        <w:tc>
          <w:tcPr>
            <w:tcW w:w="606" w:type="dxa"/>
            <w:vMerge w:val="continue"/>
            <w:tcBorders>
              <w:left w:val="single" w:color="auto" w:sz="4" w:space="0"/>
              <w:right w:val="single" w:color="auto" w:sz="4" w:space="0"/>
            </w:tcBorders>
            <w:noWrap w:val="0"/>
            <w:vAlign w:val="center"/>
          </w:tcPr>
          <w:p w14:paraId="0998F87E">
            <w:pPr>
              <w:spacing w:line="400" w:lineRule="exact"/>
              <w:jc w:val="left"/>
              <w:rPr>
                <w:rFonts w:cs="Times New Roman"/>
                <w:color w:val="000000"/>
                <w:kern w:val="0"/>
                <w:sz w:val="24"/>
                <w:szCs w:val="24"/>
              </w:rPr>
            </w:pPr>
          </w:p>
        </w:tc>
        <w:tc>
          <w:tcPr>
            <w:tcW w:w="575" w:type="dxa"/>
            <w:vMerge w:val="continue"/>
            <w:tcBorders>
              <w:left w:val="single" w:color="auto" w:sz="4" w:space="0"/>
              <w:right w:val="single" w:color="auto" w:sz="4" w:space="0"/>
            </w:tcBorders>
            <w:noWrap w:val="0"/>
            <w:vAlign w:val="center"/>
          </w:tcPr>
          <w:p w14:paraId="08D46536">
            <w:pPr>
              <w:spacing w:line="400" w:lineRule="exact"/>
              <w:jc w:val="left"/>
              <w:rPr>
                <w:rFonts w:cs="Times New Roman"/>
                <w:color w:val="000000"/>
                <w:kern w:val="0"/>
                <w:sz w:val="24"/>
                <w:szCs w:val="24"/>
              </w:rPr>
            </w:pPr>
          </w:p>
        </w:tc>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44BDC91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14:paraId="09F317D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822" w:type="dxa"/>
            <w:tcBorders>
              <w:top w:val="single" w:color="auto" w:sz="4" w:space="0"/>
              <w:left w:val="nil"/>
              <w:bottom w:val="single" w:color="auto" w:sz="4" w:space="0"/>
              <w:right w:val="single" w:color="auto" w:sz="4" w:space="0"/>
            </w:tcBorders>
            <w:noWrap w:val="0"/>
            <w:vAlign w:val="center"/>
          </w:tcPr>
          <w:p w14:paraId="574E4E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社会</w:t>
            </w:r>
          </w:p>
          <w:p w14:paraId="0A3203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效益</w:t>
            </w:r>
          </w:p>
        </w:tc>
        <w:tc>
          <w:tcPr>
            <w:tcW w:w="561" w:type="dxa"/>
            <w:tcBorders>
              <w:top w:val="single" w:color="auto" w:sz="4" w:space="0"/>
              <w:left w:val="nil"/>
              <w:bottom w:val="single" w:color="auto" w:sz="4" w:space="0"/>
              <w:right w:val="single" w:color="auto" w:sz="4" w:space="0"/>
            </w:tcBorders>
            <w:noWrap w:val="0"/>
            <w:vAlign w:val="center"/>
          </w:tcPr>
          <w:p w14:paraId="7FBAC0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8</w:t>
            </w:r>
          </w:p>
        </w:tc>
        <w:tc>
          <w:tcPr>
            <w:tcW w:w="2698" w:type="dxa"/>
            <w:tcBorders>
              <w:top w:val="single" w:color="auto" w:sz="4" w:space="0"/>
              <w:left w:val="nil"/>
              <w:bottom w:val="single" w:color="auto" w:sz="4" w:space="0"/>
              <w:right w:val="single" w:color="auto" w:sz="4" w:space="0"/>
            </w:tcBorders>
            <w:noWrap w:val="0"/>
            <w:vAlign w:val="center"/>
          </w:tcPr>
          <w:p w14:paraId="7643C6E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项目实施是否产生社会综合效益</w:t>
            </w:r>
          </w:p>
        </w:tc>
        <w:tc>
          <w:tcPr>
            <w:tcW w:w="2682" w:type="dxa"/>
            <w:tcBorders>
              <w:top w:val="single" w:color="auto" w:sz="4" w:space="0"/>
              <w:left w:val="nil"/>
              <w:bottom w:val="single" w:color="auto" w:sz="4" w:space="0"/>
              <w:right w:val="single" w:color="auto" w:sz="4" w:space="0"/>
            </w:tcBorders>
            <w:noWrap w:val="0"/>
            <w:vAlign w:val="center"/>
          </w:tcPr>
          <w:p w14:paraId="43B8CFB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对照绩效目标评价社会效益（</w:t>
            </w:r>
            <w:r>
              <w:rPr>
                <w:rFonts w:cs="Times New Roman"/>
                <w:color w:val="000000"/>
                <w:kern w:val="0"/>
                <w:sz w:val="24"/>
                <w:szCs w:val="24"/>
              </w:rPr>
              <w:t>8</w:t>
            </w:r>
            <w:r>
              <w:rPr>
                <w:rFonts w:hint="eastAsia" w:cs="宋体"/>
                <w:color w:val="000000"/>
                <w:kern w:val="0"/>
                <w:sz w:val="24"/>
                <w:szCs w:val="24"/>
              </w:rPr>
              <w:t>分）</w:t>
            </w:r>
          </w:p>
        </w:tc>
      </w:tr>
      <w:tr w14:paraId="1EA35202">
        <w:tblPrEx>
          <w:tblCellMar>
            <w:top w:w="0" w:type="dxa"/>
            <w:left w:w="108" w:type="dxa"/>
            <w:bottom w:w="0" w:type="dxa"/>
            <w:right w:w="108" w:type="dxa"/>
          </w:tblCellMar>
        </w:tblPrEx>
        <w:trPr>
          <w:trHeight w:val="454" w:hRule="atLeast"/>
          <w:jc w:val="center"/>
        </w:trPr>
        <w:tc>
          <w:tcPr>
            <w:tcW w:w="606" w:type="dxa"/>
            <w:vMerge w:val="continue"/>
            <w:tcBorders>
              <w:left w:val="single" w:color="auto" w:sz="4" w:space="0"/>
              <w:right w:val="single" w:color="auto" w:sz="4" w:space="0"/>
            </w:tcBorders>
            <w:noWrap w:val="0"/>
            <w:vAlign w:val="center"/>
          </w:tcPr>
          <w:p w14:paraId="53E107E9">
            <w:pPr>
              <w:spacing w:line="400" w:lineRule="exact"/>
              <w:jc w:val="left"/>
              <w:rPr>
                <w:rFonts w:cs="Times New Roman"/>
                <w:color w:val="000000"/>
                <w:kern w:val="0"/>
                <w:sz w:val="24"/>
                <w:szCs w:val="24"/>
              </w:rPr>
            </w:pPr>
          </w:p>
        </w:tc>
        <w:tc>
          <w:tcPr>
            <w:tcW w:w="575" w:type="dxa"/>
            <w:vMerge w:val="continue"/>
            <w:tcBorders>
              <w:left w:val="single" w:color="auto" w:sz="4" w:space="0"/>
              <w:right w:val="single" w:color="auto" w:sz="4" w:space="0"/>
            </w:tcBorders>
            <w:noWrap w:val="0"/>
            <w:vAlign w:val="center"/>
          </w:tcPr>
          <w:p w14:paraId="7829850F">
            <w:pPr>
              <w:spacing w:line="400" w:lineRule="exact"/>
              <w:jc w:val="left"/>
              <w:rPr>
                <w:rFonts w:cs="Times New Roman"/>
                <w:color w:val="000000"/>
                <w:kern w:val="0"/>
                <w:sz w:val="24"/>
                <w:szCs w:val="24"/>
              </w:rPr>
            </w:pPr>
          </w:p>
        </w:tc>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6DB3E2B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14:paraId="26190BD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822" w:type="dxa"/>
            <w:tcBorders>
              <w:top w:val="single" w:color="auto" w:sz="4" w:space="0"/>
              <w:left w:val="nil"/>
              <w:bottom w:val="single" w:color="auto" w:sz="4" w:space="0"/>
              <w:right w:val="single" w:color="auto" w:sz="4" w:space="0"/>
            </w:tcBorders>
            <w:noWrap w:val="0"/>
            <w:vAlign w:val="center"/>
          </w:tcPr>
          <w:p w14:paraId="6A5302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环境</w:t>
            </w:r>
          </w:p>
          <w:p w14:paraId="647212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效益</w:t>
            </w:r>
          </w:p>
        </w:tc>
        <w:tc>
          <w:tcPr>
            <w:tcW w:w="561" w:type="dxa"/>
            <w:tcBorders>
              <w:top w:val="single" w:color="auto" w:sz="4" w:space="0"/>
              <w:left w:val="nil"/>
              <w:bottom w:val="single" w:color="auto" w:sz="4" w:space="0"/>
              <w:right w:val="single" w:color="auto" w:sz="4" w:space="0"/>
            </w:tcBorders>
            <w:noWrap w:val="0"/>
            <w:vAlign w:val="center"/>
          </w:tcPr>
          <w:p w14:paraId="0023CD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8</w:t>
            </w:r>
          </w:p>
        </w:tc>
        <w:tc>
          <w:tcPr>
            <w:tcW w:w="2698" w:type="dxa"/>
            <w:tcBorders>
              <w:top w:val="single" w:color="auto" w:sz="4" w:space="0"/>
              <w:left w:val="nil"/>
              <w:bottom w:val="single" w:color="auto" w:sz="4" w:space="0"/>
              <w:right w:val="single" w:color="auto" w:sz="4" w:space="0"/>
            </w:tcBorders>
            <w:noWrap w:val="0"/>
            <w:vAlign w:val="center"/>
          </w:tcPr>
          <w:p w14:paraId="4F73C8E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项目实施是否对环境产生积极或消极影响</w:t>
            </w:r>
          </w:p>
        </w:tc>
        <w:tc>
          <w:tcPr>
            <w:tcW w:w="2682" w:type="dxa"/>
            <w:tcBorders>
              <w:top w:val="single" w:color="auto" w:sz="4" w:space="0"/>
              <w:left w:val="nil"/>
              <w:bottom w:val="single" w:color="auto" w:sz="4" w:space="0"/>
              <w:right w:val="single" w:color="auto" w:sz="4" w:space="0"/>
            </w:tcBorders>
            <w:noWrap w:val="0"/>
            <w:vAlign w:val="center"/>
          </w:tcPr>
          <w:p w14:paraId="17A0439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对照绩效目标评价环境效益（</w:t>
            </w:r>
            <w:r>
              <w:rPr>
                <w:rFonts w:cs="Times New Roman"/>
                <w:color w:val="000000"/>
                <w:kern w:val="0"/>
                <w:sz w:val="24"/>
                <w:szCs w:val="24"/>
              </w:rPr>
              <w:t>8</w:t>
            </w:r>
            <w:r>
              <w:rPr>
                <w:rFonts w:hint="eastAsia" w:cs="宋体"/>
                <w:color w:val="000000"/>
                <w:kern w:val="0"/>
                <w:sz w:val="24"/>
                <w:szCs w:val="24"/>
              </w:rPr>
              <w:t>分）</w:t>
            </w:r>
          </w:p>
        </w:tc>
      </w:tr>
      <w:tr w14:paraId="12BA5786">
        <w:tblPrEx>
          <w:tblCellMar>
            <w:top w:w="0" w:type="dxa"/>
            <w:left w:w="108" w:type="dxa"/>
            <w:bottom w:w="0" w:type="dxa"/>
            <w:right w:w="108" w:type="dxa"/>
          </w:tblCellMar>
        </w:tblPrEx>
        <w:trPr>
          <w:trHeight w:val="454" w:hRule="atLeast"/>
          <w:jc w:val="center"/>
        </w:trPr>
        <w:tc>
          <w:tcPr>
            <w:tcW w:w="606" w:type="dxa"/>
            <w:vMerge w:val="continue"/>
            <w:tcBorders>
              <w:left w:val="single" w:color="auto" w:sz="4" w:space="0"/>
              <w:right w:val="single" w:color="auto" w:sz="4" w:space="0"/>
            </w:tcBorders>
            <w:noWrap w:val="0"/>
            <w:vAlign w:val="center"/>
          </w:tcPr>
          <w:p w14:paraId="35A92A59">
            <w:pPr>
              <w:spacing w:line="400" w:lineRule="exact"/>
              <w:jc w:val="left"/>
              <w:rPr>
                <w:rFonts w:cs="Times New Roman"/>
                <w:color w:val="000000"/>
                <w:kern w:val="0"/>
                <w:sz w:val="24"/>
                <w:szCs w:val="24"/>
              </w:rPr>
            </w:pPr>
          </w:p>
        </w:tc>
        <w:tc>
          <w:tcPr>
            <w:tcW w:w="575" w:type="dxa"/>
            <w:vMerge w:val="continue"/>
            <w:tcBorders>
              <w:left w:val="single" w:color="auto" w:sz="4" w:space="0"/>
              <w:right w:val="single" w:color="auto" w:sz="4" w:space="0"/>
            </w:tcBorders>
            <w:noWrap w:val="0"/>
            <w:vAlign w:val="center"/>
          </w:tcPr>
          <w:p w14:paraId="0B5CA4B6">
            <w:pPr>
              <w:spacing w:line="400" w:lineRule="exact"/>
              <w:jc w:val="left"/>
              <w:rPr>
                <w:rFonts w:cs="Times New Roman"/>
                <w:color w:val="000000"/>
                <w:kern w:val="0"/>
                <w:sz w:val="24"/>
                <w:szCs w:val="24"/>
              </w:rPr>
            </w:pPr>
          </w:p>
        </w:tc>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2679784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14:paraId="7AF0FE6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822" w:type="dxa"/>
            <w:tcBorders>
              <w:top w:val="single" w:color="auto" w:sz="4" w:space="0"/>
              <w:left w:val="nil"/>
              <w:bottom w:val="single" w:color="auto" w:sz="4" w:space="0"/>
              <w:right w:val="single" w:color="auto" w:sz="4" w:space="0"/>
            </w:tcBorders>
            <w:noWrap w:val="0"/>
            <w:vAlign w:val="center"/>
          </w:tcPr>
          <w:p w14:paraId="35C2A5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可持续</w:t>
            </w:r>
          </w:p>
          <w:p w14:paraId="20A4FE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影响</w:t>
            </w:r>
          </w:p>
        </w:tc>
        <w:tc>
          <w:tcPr>
            <w:tcW w:w="561" w:type="dxa"/>
            <w:tcBorders>
              <w:top w:val="single" w:color="auto" w:sz="4" w:space="0"/>
              <w:left w:val="nil"/>
              <w:bottom w:val="single" w:color="auto" w:sz="4" w:space="0"/>
              <w:right w:val="single" w:color="auto" w:sz="4" w:space="0"/>
            </w:tcBorders>
            <w:noWrap w:val="0"/>
            <w:vAlign w:val="center"/>
          </w:tcPr>
          <w:p w14:paraId="473E82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8</w:t>
            </w:r>
          </w:p>
        </w:tc>
        <w:tc>
          <w:tcPr>
            <w:tcW w:w="2698" w:type="dxa"/>
            <w:tcBorders>
              <w:top w:val="single" w:color="auto" w:sz="4" w:space="0"/>
              <w:left w:val="nil"/>
              <w:bottom w:val="single" w:color="auto" w:sz="4" w:space="0"/>
              <w:right w:val="single" w:color="auto" w:sz="4" w:space="0"/>
            </w:tcBorders>
            <w:noWrap w:val="0"/>
            <w:vAlign w:val="center"/>
          </w:tcPr>
          <w:p w14:paraId="2B035D9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项目实施对人、自然、资源是否带来可持续影响</w:t>
            </w:r>
          </w:p>
        </w:tc>
        <w:tc>
          <w:tcPr>
            <w:tcW w:w="2682" w:type="dxa"/>
            <w:tcBorders>
              <w:top w:val="single" w:color="auto" w:sz="4" w:space="0"/>
              <w:left w:val="nil"/>
              <w:bottom w:val="single" w:color="auto" w:sz="4" w:space="0"/>
              <w:right w:val="single" w:color="auto" w:sz="4" w:space="0"/>
            </w:tcBorders>
            <w:noWrap w:val="0"/>
            <w:vAlign w:val="center"/>
          </w:tcPr>
          <w:p w14:paraId="6ADCA28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对照绩效目标评价可持续影响（</w:t>
            </w:r>
            <w:r>
              <w:rPr>
                <w:rFonts w:cs="Times New Roman"/>
                <w:color w:val="000000"/>
                <w:kern w:val="0"/>
                <w:sz w:val="24"/>
                <w:szCs w:val="24"/>
              </w:rPr>
              <w:t>8</w:t>
            </w:r>
            <w:r>
              <w:rPr>
                <w:rFonts w:hint="eastAsia" w:cs="宋体"/>
                <w:color w:val="000000"/>
                <w:kern w:val="0"/>
                <w:sz w:val="24"/>
                <w:szCs w:val="24"/>
              </w:rPr>
              <w:t>分）</w:t>
            </w:r>
          </w:p>
        </w:tc>
      </w:tr>
      <w:tr w14:paraId="2FAFC556">
        <w:tblPrEx>
          <w:tblCellMar>
            <w:top w:w="0" w:type="dxa"/>
            <w:left w:w="108" w:type="dxa"/>
            <w:bottom w:w="0" w:type="dxa"/>
            <w:right w:w="108" w:type="dxa"/>
          </w:tblCellMar>
        </w:tblPrEx>
        <w:trPr>
          <w:trHeight w:val="454" w:hRule="atLeast"/>
          <w:jc w:val="center"/>
        </w:trPr>
        <w:tc>
          <w:tcPr>
            <w:tcW w:w="606" w:type="dxa"/>
            <w:vMerge w:val="continue"/>
            <w:tcBorders>
              <w:left w:val="single" w:color="auto" w:sz="4" w:space="0"/>
              <w:bottom w:val="single" w:color="auto" w:sz="4" w:space="0"/>
              <w:right w:val="single" w:color="auto" w:sz="4" w:space="0"/>
            </w:tcBorders>
            <w:noWrap w:val="0"/>
            <w:vAlign w:val="center"/>
          </w:tcPr>
          <w:p w14:paraId="0EF2241F">
            <w:pPr>
              <w:spacing w:line="400" w:lineRule="exact"/>
              <w:jc w:val="left"/>
              <w:rPr>
                <w:rFonts w:cs="Times New Roman"/>
                <w:color w:val="000000"/>
                <w:kern w:val="0"/>
                <w:sz w:val="24"/>
                <w:szCs w:val="24"/>
              </w:rPr>
            </w:pPr>
          </w:p>
        </w:tc>
        <w:tc>
          <w:tcPr>
            <w:tcW w:w="575" w:type="dxa"/>
            <w:vMerge w:val="continue"/>
            <w:tcBorders>
              <w:left w:val="single" w:color="auto" w:sz="4" w:space="0"/>
              <w:bottom w:val="single" w:color="auto" w:sz="4" w:space="0"/>
              <w:right w:val="single" w:color="auto" w:sz="4" w:space="0"/>
            </w:tcBorders>
            <w:noWrap w:val="0"/>
            <w:vAlign w:val="center"/>
          </w:tcPr>
          <w:p w14:paraId="608E9D5E">
            <w:pPr>
              <w:spacing w:line="400" w:lineRule="exact"/>
              <w:jc w:val="left"/>
              <w:rPr>
                <w:rFonts w:cs="Times New Roman"/>
                <w:color w:val="000000"/>
                <w:kern w:val="0"/>
                <w:sz w:val="24"/>
                <w:szCs w:val="24"/>
              </w:rPr>
            </w:pPr>
          </w:p>
        </w:tc>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139014C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14:paraId="2C1AC6C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p>
        </w:tc>
        <w:tc>
          <w:tcPr>
            <w:tcW w:w="822" w:type="dxa"/>
            <w:tcBorders>
              <w:top w:val="single" w:color="auto" w:sz="4" w:space="0"/>
              <w:left w:val="nil"/>
              <w:bottom w:val="single" w:color="auto" w:sz="4" w:space="0"/>
              <w:right w:val="single" w:color="auto" w:sz="4" w:space="0"/>
            </w:tcBorders>
            <w:noWrap w:val="0"/>
            <w:vAlign w:val="center"/>
          </w:tcPr>
          <w:p w14:paraId="2EA6DF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宋体"/>
                <w:color w:val="000000"/>
                <w:kern w:val="0"/>
                <w:sz w:val="24"/>
                <w:szCs w:val="24"/>
              </w:rPr>
            </w:pPr>
            <w:r>
              <w:rPr>
                <w:rFonts w:hint="eastAsia" w:cs="宋体"/>
                <w:color w:val="000000"/>
                <w:kern w:val="0"/>
                <w:sz w:val="24"/>
                <w:szCs w:val="24"/>
              </w:rPr>
              <w:t>服务</w:t>
            </w:r>
          </w:p>
          <w:p w14:paraId="5A77E2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宋体"/>
                <w:color w:val="000000"/>
                <w:kern w:val="0"/>
                <w:sz w:val="24"/>
                <w:szCs w:val="24"/>
              </w:rPr>
            </w:pPr>
            <w:r>
              <w:rPr>
                <w:rFonts w:hint="eastAsia" w:cs="宋体"/>
                <w:color w:val="000000"/>
                <w:kern w:val="0"/>
                <w:sz w:val="24"/>
                <w:szCs w:val="24"/>
              </w:rPr>
              <w:t>对象</w:t>
            </w:r>
          </w:p>
          <w:p w14:paraId="3B1AAB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hint="eastAsia" w:cs="宋体"/>
                <w:color w:val="000000"/>
                <w:kern w:val="0"/>
                <w:sz w:val="24"/>
                <w:szCs w:val="24"/>
              </w:rPr>
              <w:t>满意度</w:t>
            </w:r>
          </w:p>
        </w:tc>
        <w:tc>
          <w:tcPr>
            <w:tcW w:w="561" w:type="dxa"/>
            <w:tcBorders>
              <w:top w:val="single" w:color="auto" w:sz="4" w:space="0"/>
              <w:left w:val="nil"/>
              <w:bottom w:val="single" w:color="auto" w:sz="4" w:space="0"/>
              <w:right w:val="single" w:color="auto" w:sz="4" w:space="0"/>
            </w:tcBorders>
            <w:noWrap w:val="0"/>
            <w:vAlign w:val="center"/>
          </w:tcPr>
          <w:p w14:paraId="32D82D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color w:val="000000"/>
                <w:kern w:val="0"/>
                <w:sz w:val="24"/>
                <w:szCs w:val="24"/>
              </w:rPr>
            </w:pPr>
            <w:r>
              <w:rPr>
                <w:rFonts w:cs="Times New Roman"/>
                <w:color w:val="000000"/>
                <w:kern w:val="0"/>
                <w:sz w:val="24"/>
                <w:szCs w:val="24"/>
              </w:rPr>
              <w:t>8</w:t>
            </w:r>
          </w:p>
        </w:tc>
        <w:tc>
          <w:tcPr>
            <w:tcW w:w="2698" w:type="dxa"/>
            <w:tcBorders>
              <w:top w:val="single" w:color="auto" w:sz="4" w:space="0"/>
              <w:left w:val="nil"/>
              <w:bottom w:val="single" w:color="auto" w:sz="4" w:space="0"/>
              <w:right w:val="single" w:color="auto" w:sz="4" w:space="0"/>
            </w:tcBorders>
            <w:noWrap w:val="0"/>
            <w:vAlign w:val="center"/>
          </w:tcPr>
          <w:p w14:paraId="4712DB3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项目预期服务对象对项目实施的满意程度</w:t>
            </w:r>
          </w:p>
        </w:tc>
        <w:tc>
          <w:tcPr>
            <w:tcW w:w="2682" w:type="dxa"/>
            <w:tcBorders>
              <w:top w:val="single" w:color="auto" w:sz="4" w:space="0"/>
              <w:left w:val="nil"/>
              <w:bottom w:val="single" w:color="auto" w:sz="4" w:space="0"/>
              <w:right w:val="single" w:color="auto" w:sz="4" w:space="0"/>
            </w:tcBorders>
            <w:noWrap w:val="0"/>
            <w:vAlign w:val="center"/>
          </w:tcPr>
          <w:p w14:paraId="5D81A30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color w:val="000000"/>
                <w:kern w:val="0"/>
                <w:sz w:val="24"/>
                <w:szCs w:val="24"/>
              </w:rPr>
            </w:pPr>
            <w:r>
              <w:rPr>
                <w:rFonts w:hint="eastAsia" w:cs="宋体"/>
                <w:color w:val="000000"/>
                <w:kern w:val="0"/>
                <w:sz w:val="24"/>
                <w:szCs w:val="24"/>
              </w:rPr>
              <w:t>对照绩效目标评价服务对象满意度（</w:t>
            </w:r>
            <w:r>
              <w:rPr>
                <w:rFonts w:cs="Times New Roman"/>
                <w:color w:val="000000"/>
                <w:kern w:val="0"/>
                <w:sz w:val="24"/>
                <w:szCs w:val="24"/>
              </w:rPr>
              <w:t>8</w:t>
            </w:r>
            <w:r>
              <w:rPr>
                <w:rFonts w:hint="eastAsia" w:cs="宋体"/>
                <w:color w:val="000000"/>
                <w:kern w:val="0"/>
                <w:sz w:val="24"/>
                <w:szCs w:val="24"/>
              </w:rPr>
              <w:t>分）</w:t>
            </w:r>
          </w:p>
        </w:tc>
      </w:tr>
      <w:tr w14:paraId="74A7CFB1">
        <w:tblPrEx>
          <w:tblCellMar>
            <w:top w:w="0" w:type="dxa"/>
            <w:left w:w="108" w:type="dxa"/>
            <w:bottom w:w="0" w:type="dxa"/>
            <w:right w:w="108" w:type="dxa"/>
          </w:tblCellMar>
        </w:tblPrEx>
        <w:trPr>
          <w:trHeight w:val="45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14:paraId="75D4B1DA">
            <w:pPr>
              <w:spacing w:line="200" w:lineRule="exact"/>
              <w:jc w:val="center"/>
              <w:rPr>
                <w:rFonts w:cs="Times New Roman"/>
                <w:b/>
                <w:bCs/>
                <w:color w:val="000000"/>
                <w:kern w:val="0"/>
                <w:sz w:val="24"/>
                <w:szCs w:val="24"/>
              </w:rPr>
            </w:pPr>
            <w:r>
              <w:rPr>
                <w:rFonts w:hint="eastAsia" w:cs="宋体"/>
                <w:b/>
                <w:bCs/>
                <w:color w:val="000000"/>
                <w:kern w:val="0"/>
                <w:sz w:val="24"/>
                <w:szCs w:val="24"/>
              </w:rPr>
              <w:t>总分</w:t>
            </w:r>
          </w:p>
        </w:tc>
        <w:tc>
          <w:tcPr>
            <w:tcW w:w="575" w:type="dxa"/>
            <w:tcBorders>
              <w:top w:val="single" w:color="auto" w:sz="4" w:space="0"/>
              <w:left w:val="nil"/>
              <w:bottom w:val="single" w:color="auto" w:sz="4" w:space="0"/>
              <w:right w:val="single" w:color="auto" w:sz="4" w:space="0"/>
            </w:tcBorders>
            <w:noWrap w:val="0"/>
            <w:vAlign w:val="center"/>
          </w:tcPr>
          <w:p w14:paraId="355509CF">
            <w:pPr>
              <w:spacing w:line="200" w:lineRule="exact"/>
              <w:jc w:val="center"/>
              <w:rPr>
                <w:rFonts w:cs="Times New Roman"/>
                <w:b/>
                <w:bCs/>
                <w:color w:val="000000"/>
                <w:kern w:val="0"/>
                <w:sz w:val="24"/>
                <w:szCs w:val="24"/>
              </w:rPr>
            </w:pPr>
            <w:r>
              <w:rPr>
                <w:rFonts w:cs="Times New Roman"/>
                <w:b/>
                <w:bCs/>
                <w:color w:val="000000"/>
                <w:kern w:val="0"/>
                <w:sz w:val="24"/>
                <w:szCs w:val="24"/>
              </w:rPr>
              <w:t>100</w:t>
            </w:r>
          </w:p>
        </w:tc>
        <w:tc>
          <w:tcPr>
            <w:tcW w:w="606" w:type="dxa"/>
            <w:tcBorders>
              <w:top w:val="single" w:color="auto" w:sz="4" w:space="0"/>
              <w:left w:val="nil"/>
              <w:bottom w:val="single" w:color="auto" w:sz="4" w:space="0"/>
              <w:right w:val="single" w:color="auto" w:sz="4" w:space="0"/>
            </w:tcBorders>
            <w:noWrap w:val="0"/>
            <w:vAlign w:val="center"/>
          </w:tcPr>
          <w:p w14:paraId="17ED2B8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b/>
                <w:bCs/>
                <w:color w:val="000000"/>
                <w:kern w:val="0"/>
                <w:sz w:val="24"/>
                <w:szCs w:val="24"/>
              </w:rPr>
            </w:pPr>
            <w:r>
              <w:rPr>
                <w:rFonts w:hint="eastAsia" w:cs="宋体"/>
                <w:b/>
                <w:bCs/>
                <w:color w:val="000000"/>
                <w:kern w:val="0"/>
                <w:sz w:val="24"/>
                <w:szCs w:val="24"/>
              </w:rPr>
              <w:t>　</w:t>
            </w:r>
          </w:p>
        </w:tc>
        <w:tc>
          <w:tcPr>
            <w:tcW w:w="561" w:type="dxa"/>
            <w:tcBorders>
              <w:top w:val="single" w:color="auto" w:sz="4" w:space="0"/>
              <w:left w:val="nil"/>
              <w:bottom w:val="single" w:color="auto" w:sz="4" w:space="0"/>
              <w:right w:val="single" w:color="auto" w:sz="4" w:space="0"/>
            </w:tcBorders>
            <w:noWrap w:val="0"/>
            <w:vAlign w:val="center"/>
          </w:tcPr>
          <w:p w14:paraId="3ED180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b/>
                <w:bCs/>
                <w:color w:val="000000"/>
                <w:kern w:val="0"/>
                <w:sz w:val="24"/>
                <w:szCs w:val="24"/>
              </w:rPr>
            </w:pPr>
            <w:r>
              <w:rPr>
                <w:rFonts w:cs="Times New Roman"/>
                <w:b/>
                <w:bCs/>
                <w:color w:val="000000"/>
                <w:kern w:val="0"/>
                <w:sz w:val="24"/>
                <w:szCs w:val="24"/>
              </w:rPr>
              <w:t>100</w:t>
            </w:r>
          </w:p>
        </w:tc>
        <w:tc>
          <w:tcPr>
            <w:tcW w:w="822" w:type="dxa"/>
            <w:tcBorders>
              <w:top w:val="single" w:color="auto" w:sz="4" w:space="0"/>
              <w:left w:val="nil"/>
              <w:bottom w:val="single" w:color="auto" w:sz="4" w:space="0"/>
              <w:right w:val="single" w:color="auto" w:sz="4" w:space="0"/>
            </w:tcBorders>
            <w:noWrap w:val="0"/>
            <w:vAlign w:val="center"/>
          </w:tcPr>
          <w:p w14:paraId="2B84473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b/>
                <w:bCs/>
                <w:color w:val="000000"/>
                <w:kern w:val="0"/>
                <w:sz w:val="24"/>
                <w:szCs w:val="24"/>
              </w:rPr>
            </w:pPr>
            <w:r>
              <w:rPr>
                <w:rFonts w:hint="eastAsia" w:cs="宋体"/>
                <w:b/>
                <w:bCs/>
                <w:color w:val="000000"/>
                <w:kern w:val="0"/>
                <w:sz w:val="24"/>
                <w:szCs w:val="24"/>
              </w:rPr>
              <w:t>　</w:t>
            </w:r>
          </w:p>
        </w:tc>
        <w:tc>
          <w:tcPr>
            <w:tcW w:w="561" w:type="dxa"/>
            <w:tcBorders>
              <w:top w:val="single" w:color="auto" w:sz="4" w:space="0"/>
              <w:left w:val="nil"/>
              <w:bottom w:val="single" w:color="auto" w:sz="4" w:space="0"/>
              <w:right w:val="single" w:color="auto" w:sz="4" w:space="0"/>
            </w:tcBorders>
            <w:noWrap w:val="0"/>
            <w:vAlign w:val="center"/>
          </w:tcPr>
          <w:p w14:paraId="21E4EA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b/>
                <w:bCs/>
                <w:color w:val="000000"/>
                <w:kern w:val="0"/>
                <w:sz w:val="24"/>
                <w:szCs w:val="24"/>
              </w:rPr>
            </w:pPr>
            <w:r>
              <w:rPr>
                <w:rFonts w:cs="Times New Roman"/>
                <w:b/>
                <w:bCs/>
                <w:color w:val="000000"/>
                <w:kern w:val="0"/>
                <w:sz w:val="24"/>
                <w:szCs w:val="24"/>
              </w:rPr>
              <w:t>100</w:t>
            </w:r>
          </w:p>
        </w:tc>
        <w:tc>
          <w:tcPr>
            <w:tcW w:w="2698" w:type="dxa"/>
            <w:tcBorders>
              <w:top w:val="single" w:color="auto" w:sz="4" w:space="0"/>
              <w:left w:val="nil"/>
              <w:bottom w:val="single" w:color="auto" w:sz="4" w:space="0"/>
              <w:right w:val="single" w:color="auto" w:sz="4" w:space="0"/>
            </w:tcBorders>
            <w:noWrap w:val="0"/>
            <w:vAlign w:val="center"/>
          </w:tcPr>
          <w:p w14:paraId="23EF2D6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b/>
                <w:bCs/>
                <w:color w:val="000000"/>
                <w:kern w:val="0"/>
                <w:sz w:val="24"/>
                <w:szCs w:val="24"/>
              </w:rPr>
            </w:pPr>
            <w:r>
              <w:rPr>
                <w:rFonts w:hint="eastAsia" w:cs="宋体"/>
                <w:b/>
                <w:bCs/>
                <w:color w:val="000000"/>
                <w:kern w:val="0"/>
                <w:sz w:val="24"/>
                <w:szCs w:val="24"/>
              </w:rPr>
              <w:t>　</w:t>
            </w:r>
          </w:p>
        </w:tc>
        <w:tc>
          <w:tcPr>
            <w:tcW w:w="2682" w:type="dxa"/>
            <w:tcBorders>
              <w:top w:val="single" w:color="auto" w:sz="4" w:space="0"/>
              <w:left w:val="nil"/>
              <w:bottom w:val="single" w:color="auto" w:sz="4" w:space="0"/>
              <w:right w:val="single" w:color="auto" w:sz="4" w:space="0"/>
            </w:tcBorders>
            <w:noWrap w:val="0"/>
            <w:vAlign w:val="center"/>
          </w:tcPr>
          <w:p w14:paraId="52FE604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b/>
                <w:bCs/>
                <w:color w:val="000000"/>
                <w:kern w:val="0"/>
                <w:sz w:val="24"/>
                <w:szCs w:val="24"/>
              </w:rPr>
            </w:pPr>
            <w:r>
              <w:rPr>
                <w:rFonts w:hint="eastAsia" w:cs="宋体"/>
                <w:b/>
                <w:bCs/>
                <w:color w:val="000000"/>
                <w:kern w:val="0"/>
                <w:sz w:val="24"/>
                <w:szCs w:val="24"/>
              </w:rPr>
              <w:t>　</w:t>
            </w:r>
          </w:p>
        </w:tc>
      </w:tr>
    </w:tbl>
    <w:p w14:paraId="47B6B8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rPr>
      </w:pPr>
      <w:r>
        <w:rPr>
          <w:rFonts w:hint="eastAsia" w:ascii="Times New Roman" w:hAnsi="Times New Roman" w:cs="Times New Roman"/>
          <w:sz w:val="24"/>
          <w:szCs w:val="24"/>
        </w:rPr>
        <w:t>林业有害生物防治体系建设项目的绩效评价主要</w:t>
      </w:r>
      <w:r>
        <w:rPr>
          <w:rFonts w:hint="default" w:ascii="Times New Roman" w:hAnsi="Times New Roman" w:cs="Times New Roman"/>
          <w:sz w:val="24"/>
          <w:szCs w:val="24"/>
          <w:lang w:val="en-US" w:eastAsia="zh-CN"/>
        </w:rPr>
        <w:t>根据《中共淮北市委</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淮北市人民政府印发&lt;关于全面实施预算绩效管理的实施方案&gt;的通知》（淮发〔2019〕12号）文件</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结合项目申报书、可行性研究报告、预算批复和预算执行的决算报告、项目验收资料等。</w:t>
      </w:r>
    </w:p>
    <w:p w14:paraId="5240AB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仿宋_GB2312" w:hAnsi="仿宋_GB2312" w:cs="仿宋_GB2312"/>
          <w:b/>
          <w:bCs/>
          <w:sz w:val="24"/>
          <w:szCs w:val="24"/>
        </w:rPr>
      </w:pPr>
      <w:r>
        <w:rPr>
          <w:rFonts w:hint="eastAsia" w:ascii="仿宋_GB2312" w:hAnsi="仿宋_GB2312" w:cs="仿宋_GB2312"/>
          <w:b/>
          <w:bCs/>
          <w:sz w:val="24"/>
          <w:szCs w:val="24"/>
          <w:lang w:eastAsia="zh-CN"/>
        </w:rPr>
        <w:t>（三）</w:t>
      </w:r>
      <w:r>
        <w:rPr>
          <w:rFonts w:hint="eastAsia" w:ascii="仿宋_GB2312" w:hAnsi="仿宋_GB2312" w:cs="仿宋_GB2312"/>
          <w:b/>
          <w:bCs/>
          <w:sz w:val="24"/>
          <w:szCs w:val="24"/>
        </w:rPr>
        <w:t>绩效评价工作过程。</w:t>
      </w:r>
    </w:p>
    <w:p w14:paraId="41BD42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 前期准备。为做好林业有害生物防治体系建设项目的绩效考评工作，我局组织人员认真学习相关政策，深刻领会文件精神，把握预算项目执行情况，确保进行评价工作时充分、准确把握相关政策，为项目绩效评价做好前期准备工作。</w:t>
      </w:r>
    </w:p>
    <w:p w14:paraId="1DC1E1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 组织实施。为按时、保质、保量完成林业有害生物防治体系建设项目绩效评价工作，我局成立考评领导小组，组织相关业务科室、站、所参加本次评价工作。</w:t>
      </w:r>
    </w:p>
    <w:p w14:paraId="5498BD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3. 分析评价。202</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eastAsia="zh-CN"/>
        </w:rPr>
        <w:t>年度淮北市林业有害生物防治体系建设工作主要以防控美国白蛾为主，兼防其他害虫，其中飞机作业防治面积55万亩，地面防控作业面积约</w:t>
      </w:r>
      <w:r>
        <w:rPr>
          <w:rFonts w:hint="eastAsia" w:ascii="Times New Roman" w:hAnsi="Times New Roman" w:cs="Times New Roman"/>
          <w:sz w:val="24"/>
          <w:szCs w:val="24"/>
          <w:lang w:val="en-US" w:eastAsia="zh-CN"/>
        </w:rPr>
        <w:t>937.02公里</w:t>
      </w:r>
      <w:r>
        <w:rPr>
          <w:rFonts w:hint="default" w:ascii="Times New Roman" w:hAnsi="Times New Roman" w:cs="Times New Roman"/>
          <w:sz w:val="24"/>
          <w:szCs w:val="24"/>
          <w:lang w:eastAsia="zh-CN"/>
        </w:rPr>
        <w:t>。淮北市202</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eastAsia="zh-CN"/>
        </w:rPr>
        <w:t>年度人工防治林业有害生物项目通过公开招标，总投入资金</w:t>
      </w:r>
      <w:r>
        <w:rPr>
          <w:rFonts w:hint="eastAsia" w:ascii="Times New Roman" w:hAnsi="Times New Roman" w:cs="Times New Roman"/>
          <w:sz w:val="24"/>
          <w:szCs w:val="24"/>
          <w:lang w:val="en-US" w:eastAsia="zh-CN"/>
        </w:rPr>
        <w:t>43.4691</w:t>
      </w:r>
      <w:r>
        <w:rPr>
          <w:rFonts w:hint="default" w:ascii="Times New Roman" w:hAnsi="Times New Roman" w:cs="Times New Roman"/>
          <w:sz w:val="24"/>
          <w:szCs w:val="24"/>
          <w:lang w:eastAsia="zh-CN"/>
        </w:rPr>
        <w:t>万元。经过市林业局组织专家验收，达到合同验收标准，完成省林业局下达的任务，实现了有虫不成灾的目标。</w:t>
      </w:r>
    </w:p>
    <w:p w14:paraId="03E282E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jc w:val="both"/>
        <w:textAlignment w:val="auto"/>
        <w:rPr>
          <w:rFonts w:ascii="仿宋_GB2312" w:hAnsi="仿宋_GB2312" w:cs="仿宋_GB2312"/>
          <w:sz w:val="24"/>
          <w:szCs w:val="24"/>
        </w:rPr>
      </w:pPr>
      <w:r>
        <w:rPr>
          <w:rFonts w:hint="eastAsia" w:ascii="黑体" w:hAnsi="黑体" w:eastAsia="黑体" w:cs="黑体"/>
          <w:sz w:val="24"/>
          <w:szCs w:val="24"/>
        </w:rPr>
        <w:t>三、综合评价情况及评价结论</w:t>
      </w:r>
      <w:r>
        <w:rPr>
          <w:rFonts w:hint="eastAsia" w:ascii="仿宋_GB2312" w:hAnsi="仿宋_GB2312" w:cs="仿宋_GB2312"/>
          <w:sz w:val="24"/>
          <w:szCs w:val="24"/>
        </w:rPr>
        <w:t>（附相关评分表）</w:t>
      </w:r>
    </w:p>
    <w:p w14:paraId="739C5C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rPr>
      </w:pPr>
      <w:r>
        <w:rPr>
          <w:rFonts w:hint="eastAsia" w:ascii="Times New Roman" w:hAnsi="Times New Roman" w:cs="Times New Roman"/>
          <w:sz w:val="24"/>
          <w:szCs w:val="24"/>
        </w:rPr>
        <w:t>淮北市</w:t>
      </w:r>
      <w:r>
        <w:rPr>
          <w:rFonts w:hint="eastAsia" w:ascii="Times New Roman" w:hAnsi="Times New Roman" w:cs="Times New Roman"/>
          <w:sz w:val="24"/>
          <w:szCs w:val="24"/>
          <w:lang w:eastAsia="zh-CN"/>
        </w:rPr>
        <w:t>林业有害生物</w:t>
      </w:r>
      <w:r>
        <w:rPr>
          <w:rFonts w:hint="eastAsia" w:ascii="Times New Roman" w:hAnsi="Times New Roman" w:cs="Times New Roman"/>
          <w:sz w:val="24"/>
          <w:szCs w:val="24"/>
        </w:rPr>
        <w:t>项目成效显著，提高了林</w:t>
      </w:r>
      <w:r>
        <w:rPr>
          <w:rFonts w:hint="eastAsia" w:ascii="Times New Roman" w:hAnsi="Times New Roman" w:cs="Times New Roman"/>
          <w:sz w:val="24"/>
          <w:szCs w:val="24"/>
          <w:lang w:eastAsia="zh-CN"/>
        </w:rPr>
        <w:t>业</w:t>
      </w:r>
      <w:r>
        <w:rPr>
          <w:rFonts w:hint="eastAsia" w:ascii="Times New Roman" w:hAnsi="Times New Roman" w:cs="Times New Roman"/>
          <w:sz w:val="24"/>
          <w:szCs w:val="24"/>
        </w:rPr>
        <w:t>可持续发展水平。林业有害生物（美国白蛾）防治面积（万亩）年度指标值</w:t>
      </w:r>
      <w:r>
        <w:rPr>
          <w:rFonts w:hint="eastAsia" w:ascii="Times New Roman" w:hAnsi="Times New Roman" w:cs="Times New Roman"/>
          <w:sz w:val="24"/>
          <w:szCs w:val="24"/>
          <w:lang w:val="en-US" w:eastAsia="zh-CN"/>
        </w:rPr>
        <w:t>45.2</w:t>
      </w:r>
      <w:r>
        <w:rPr>
          <w:rFonts w:hint="eastAsia" w:ascii="Times New Roman" w:hAnsi="Times New Roman" w:cs="Times New Roman"/>
          <w:sz w:val="24"/>
          <w:szCs w:val="24"/>
        </w:rPr>
        <w:t>万亩，我市完成55万亩；林业有害生物成灾率指标≤2.83‰，我市2023年度林业有害生物成灾率为0，100%完成了林业有害生物防治当期任务。</w:t>
      </w:r>
    </w:p>
    <w:p w14:paraId="2E99DA13">
      <w:pPr>
        <w:spacing w:line="480" w:lineRule="exact"/>
        <w:jc w:val="center"/>
        <w:rPr>
          <w:rFonts w:hint="eastAsia" w:ascii="仿宋" w:hAnsi="仿宋" w:eastAsia="仿宋"/>
          <w:b/>
          <w:sz w:val="24"/>
          <w:szCs w:val="24"/>
        </w:rPr>
      </w:pPr>
      <w:r>
        <w:rPr>
          <w:rFonts w:hint="eastAsia" w:ascii="仿宋" w:hAnsi="仿宋" w:eastAsia="仿宋"/>
          <w:b/>
          <w:sz w:val="24"/>
          <w:szCs w:val="24"/>
        </w:rPr>
        <w:t>淮北市财政支出绩效评价指标评分表</w:t>
      </w:r>
      <w:r>
        <w:rPr>
          <w:rFonts w:hint="eastAsia" w:ascii="仿宋" w:hAnsi="仿宋" w:eastAsia="仿宋"/>
          <w:bCs/>
          <w:color w:val="000000"/>
          <w:sz w:val="24"/>
          <w:szCs w:val="24"/>
          <w:lang w:eastAsia="zh-CN"/>
        </w:rPr>
        <w:t>（</w:t>
      </w:r>
      <w:r>
        <w:rPr>
          <w:rFonts w:hint="eastAsia" w:ascii="仿宋" w:hAnsi="仿宋" w:eastAsia="仿宋"/>
          <w:bCs/>
          <w:color w:val="000000"/>
          <w:sz w:val="24"/>
          <w:szCs w:val="24"/>
        </w:rPr>
        <w:t>林业有害生物防治体系建设</w:t>
      </w:r>
      <w:r>
        <w:rPr>
          <w:rFonts w:hint="eastAsia" w:ascii="仿宋" w:hAnsi="仿宋" w:eastAsia="仿宋"/>
          <w:sz w:val="24"/>
          <w:szCs w:val="24"/>
        </w:rPr>
        <w:t>）</w:t>
      </w: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85"/>
        <w:gridCol w:w="1285"/>
        <w:gridCol w:w="1285"/>
        <w:gridCol w:w="1285"/>
        <w:gridCol w:w="1285"/>
        <w:gridCol w:w="1286"/>
        <w:gridCol w:w="1290"/>
      </w:tblGrid>
      <w:tr w14:paraId="4086E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tcBorders>
              <w:top w:val="single" w:color="auto" w:sz="4" w:space="0"/>
              <w:left w:val="single" w:color="auto" w:sz="4" w:space="0"/>
              <w:bottom w:val="single" w:color="auto" w:sz="4" w:space="0"/>
              <w:right w:val="single" w:color="auto" w:sz="4" w:space="0"/>
            </w:tcBorders>
            <w:noWrap w:val="0"/>
            <w:vAlign w:val="center"/>
          </w:tcPr>
          <w:p w14:paraId="688D1C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一级指标</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72FE51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分值</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61C3BE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二级指标</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5A7993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分值</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42670B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三级指标</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15BCEE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分值</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7A222A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得分</w:t>
            </w:r>
          </w:p>
        </w:tc>
      </w:tr>
      <w:tr w14:paraId="07DF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5F480C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项目决策</w:t>
            </w:r>
          </w:p>
        </w:tc>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508114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2ED2EA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项目立项</w:t>
            </w:r>
          </w:p>
        </w:tc>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42668B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5CCA3F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立项充分性</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79A1CE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62A805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10910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17808794">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6194C552">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30368466">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78D8BB4C">
            <w:pPr>
              <w:jc w:val="center"/>
              <w:rPr>
                <w:rFonts w:hint="eastAsia" w:ascii="仿宋" w:hAnsi="仿宋" w:eastAsia="仿宋" w:cs="仿宋"/>
                <w:i w:val="0"/>
                <w:iCs w:val="0"/>
                <w:color w:val="000000"/>
                <w:sz w:val="24"/>
                <w:szCs w:val="24"/>
                <w:u w:val="none"/>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08A054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程序规范性</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5835C7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4DEA0F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088D3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7A00E225">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1A333E22">
            <w:pPr>
              <w:jc w:val="center"/>
              <w:rPr>
                <w:rFonts w:hint="eastAsia" w:ascii="仿宋" w:hAnsi="仿宋" w:eastAsia="仿宋" w:cs="仿宋"/>
                <w:i w:val="0"/>
                <w:iCs w:val="0"/>
                <w:color w:val="000000"/>
                <w:sz w:val="24"/>
                <w:szCs w:val="24"/>
                <w:u w:val="none"/>
              </w:rPr>
            </w:pPr>
          </w:p>
        </w:tc>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184684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决策过程</w:t>
            </w:r>
          </w:p>
        </w:tc>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25B513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509127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决策依据</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3A0A6C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444FE2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14:paraId="67836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57EB01EE">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4917D9A1">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6EB5B3C5">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639698C5">
            <w:pPr>
              <w:jc w:val="center"/>
              <w:rPr>
                <w:rFonts w:hint="eastAsia" w:ascii="仿宋" w:hAnsi="仿宋" w:eastAsia="仿宋" w:cs="仿宋"/>
                <w:i w:val="0"/>
                <w:iCs w:val="0"/>
                <w:color w:val="000000"/>
                <w:sz w:val="24"/>
                <w:szCs w:val="24"/>
                <w:u w:val="none"/>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0E87F9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决策程序</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381D90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5CC03F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6071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60E7EF11">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2E9EAE50">
            <w:pPr>
              <w:jc w:val="center"/>
              <w:rPr>
                <w:rFonts w:hint="eastAsia" w:ascii="仿宋" w:hAnsi="仿宋" w:eastAsia="仿宋" w:cs="仿宋"/>
                <w:i w:val="0"/>
                <w:iCs w:val="0"/>
                <w:color w:val="000000"/>
                <w:sz w:val="24"/>
                <w:szCs w:val="24"/>
                <w:u w:val="none"/>
              </w:rPr>
            </w:pPr>
          </w:p>
        </w:tc>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26EFD7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资金分配</w:t>
            </w:r>
          </w:p>
        </w:tc>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00D06F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2AB609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分配办法</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335094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45B8CC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47BC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36F69967">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5313EB6D">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670FCAE1">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403A3D30">
            <w:pPr>
              <w:jc w:val="center"/>
              <w:rPr>
                <w:rFonts w:hint="eastAsia" w:ascii="仿宋" w:hAnsi="仿宋" w:eastAsia="仿宋" w:cs="仿宋"/>
                <w:i w:val="0"/>
                <w:iCs w:val="0"/>
                <w:color w:val="000000"/>
                <w:sz w:val="24"/>
                <w:szCs w:val="24"/>
                <w:u w:val="none"/>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2F5882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分配结果</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6E5327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4E1D1E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400FA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54AEAB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项目过程</w:t>
            </w:r>
          </w:p>
        </w:tc>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1F8696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3E1B8B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资金到位</w:t>
            </w:r>
          </w:p>
        </w:tc>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3E6577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7B8814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到位率</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5EE85A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21D317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14:paraId="428D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318FD8DF">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4FA99777">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237B9874">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222CB14A">
            <w:pPr>
              <w:jc w:val="center"/>
              <w:rPr>
                <w:rFonts w:hint="eastAsia" w:ascii="仿宋" w:hAnsi="仿宋" w:eastAsia="仿宋" w:cs="仿宋"/>
                <w:i w:val="0"/>
                <w:iCs w:val="0"/>
                <w:color w:val="000000"/>
                <w:sz w:val="24"/>
                <w:szCs w:val="24"/>
                <w:u w:val="none"/>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323139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到位时效</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4DE403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468079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54240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560B126C">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0390A4FC">
            <w:pPr>
              <w:jc w:val="center"/>
              <w:rPr>
                <w:rFonts w:hint="eastAsia" w:ascii="仿宋" w:hAnsi="仿宋" w:eastAsia="仿宋" w:cs="仿宋"/>
                <w:i w:val="0"/>
                <w:iCs w:val="0"/>
                <w:color w:val="000000"/>
                <w:sz w:val="24"/>
                <w:szCs w:val="24"/>
                <w:u w:val="none"/>
              </w:rPr>
            </w:pPr>
          </w:p>
        </w:tc>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236313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资金管理</w:t>
            </w:r>
          </w:p>
        </w:tc>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547B29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5C8028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资金使用</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06F252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16E0BB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r>
      <w:tr w14:paraId="2F647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5E548FBE">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59268505">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70800CDA">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650D800C">
            <w:pPr>
              <w:jc w:val="center"/>
              <w:rPr>
                <w:rFonts w:hint="eastAsia" w:ascii="仿宋" w:hAnsi="仿宋" w:eastAsia="仿宋" w:cs="仿宋"/>
                <w:i w:val="0"/>
                <w:iCs w:val="0"/>
                <w:color w:val="000000"/>
                <w:sz w:val="24"/>
                <w:szCs w:val="24"/>
                <w:u w:val="none"/>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4A4814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财务管理</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592749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202925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14:paraId="2E31A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02830C00">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68ADA686">
            <w:pPr>
              <w:jc w:val="center"/>
              <w:rPr>
                <w:rFonts w:hint="eastAsia" w:ascii="仿宋" w:hAnsi="仿宋" w:eastAsia="仿宋" w:cs="仿宋"/>
                <w:i w:val="0"/>
                <w:iCs w:val="0"/>
                <w:color w:val="000000"/>
                <w:sz w:val="24"/>
                <w:szCs w:val="24"/>
                <w:u w:val="none"/>
              </w:rPr>
            </w:pPr>
          </w:p>
        </w:tc>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08238F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组织实施</w:t>
            </w:r>
          </w:p>
        </w:tc>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451E2F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4C3DEC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组织机构</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42BDFE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496AB0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00C2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7408259C">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6B03D7C6">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1EFDDA6D">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639D0C99">
            <w:pPr>
              <w:jc w:val="center"/>
              <w:rPr>
                <w:rFonts w:hint="eastAsia" w:ascii="仿宋" w:hAnsi="仿宋" w:eastAsia="仿宋" w:cs="仿宋"/>
                <w:i w:val="0"/>
                <w:iCs w:val="0"/>
                <w:color w:val="000000"/>
                <w:sz w:val="24"/>
                <w:szCs w:val="24"/>
                <w:u w:val="none"/>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49E0B9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管理制度</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6D4398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7AD15B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r>
      <w:tr w14:paraId="5AB9D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143700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项目绩效</w:t>
            </w:r>
          </w:p>
        </w:tc>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4BEFBC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45F21D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项目产出</w:t>
            </w:r>
          </w:p>
        </w:tc>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5F3385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1AAA73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产出数量</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7A05E9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1F217E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5491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03A0C6D2">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45E5A21E">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750E24C5">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45C95E5C">
            <w:pPr>
              <w:jc w:val="center"/>
              <w:rPr>
                <w:rFonts w:hint="eastAsia" w:ascii="仿宋" w:hAnsi="仿宋" w:eastAsia="仿宋" w:cs="仿宋"/>
                <w:i w:val="0"/>
                <w:iCs w:val="0"/>
                <w:color w:val="000000"/>
                <w:sz w:val="24"/>
                <w:szCs w:val="24"/>
                <w:u w:val="none"/>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5A61A6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产出质量</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37EBDA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079C20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1600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1F85E0C2">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002E26B3">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6783569A">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2BC5E9D0">
            <w:pPr>
              <w:jc w:val="center"/>
              <w:rPr>
                <w:rFonts w:hint="eastAsia" w:ascii="仿宋" w:hAnsi="仿宋" w:eastAsia="仿宋" w:cs="仿宋"/>
                <w:i w:val="0"/>
                <w:iCs w:val="0"/>
                <w:color w:val="000000"/>
                <w:sz w:val="24"/>
                <w:szCs w:val="24"/>
                <w:u w:val="none"/>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113D55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产出时效</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5E39B2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492DBB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14:paraId="5D107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01EF907F">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3DF37804">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22590C71">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0FBA07F4">
            <w:pPr>
              <w:jc w:val="center"/>
              <w:rPr>
                <w:rFonts w:hint="eastAsia" w:ascii="仿宋" w:hAnsi="仿宋" w:eastAsia="仿宋" w:cs="仿宋"/>
                <w:i w:val="0"/>
                <w:iCs w:val="0"/>
                <w:color w:val="000000"/>
                <w:sz w:val="24"/>
                <w:szCs w:val="24"/>
                <w:u w:val="none"/>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4A17E8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产出成本</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474105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1F03C9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14:paraId="77B5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65EFF595">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5B3169A0">
            <w:pPr>
              <w:jc w:val="center"/>
              <w:rPr>
                <w:rFonts w:hint="eastAsia" w:ascii="仿宋" w:hAnsi="仿宋" w:eastAsia="仿宋" w:cs="仿宋"/>
                <w:i w:val="0"/>
                <w:iCs w:val="0"/>
                <w:color w:val="000000"/>
                <w:sz w:val="24"/>
                <w:szCs w:val="24"/>
                <w:u w:val="none"/>
              </w:rPr>
            </w:pPr>
          </w:p>
        </w:tc>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2342A7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项目效益</w:t>
            </w:r>
          </w:p>
        </w:tc>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14:paraId="6C161F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2645E8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经济效益</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76D17F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4CB939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14:paraId="53B7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239B3E6A">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01985A88">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1DE3D9CA">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2B72773D">
            <w:pPr>
              <w:jc w:val="center"/>
              <w:rPr>
                <w:rFonts w:hint="eastAsia" w:ascii="仿宋" w:hAnsi="仿宋" w:eastAsia="仿宋" w:cs="仿宋"/>
                <w:i w:val="0"/>
                <w:iCs w:val="0"/>
                <w:color w:val="000000"/>
                <w:sz w:val="24"/>
                <w:szCs w:val="24"/>
                <w:u w:val="none"/>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4E3A45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社会效益</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1DD7CB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195832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14:paraId="63510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4F98D18A">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0765D202">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0B8571DF">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12CF37CB">
            <w:pPr>
              <w:jc w:val="center"/>
              <w:rPr>
                <w:rFonts w:hint="eastAsia" w:ascii="仿宋" w:hAnsi="仿宋" w:eastAsia="仿宋" w:cs="仿宋"/>
                <w:i w:val="0"/>
                <w:iCs w:val="0"/>
                <w:color w:val="000000"/>
                <w:sz w:val="24"/>
                <w:szCs w:val="24"/>
                <w:u w:val="none"/>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3DDA75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环境效益</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7C2678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0F8240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14:paraId="7B704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748E274C">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70FDFCF3">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19BD7A7E">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07F9EE60">
            <w:pPr>
              <w:jc w:val="center"/>
              <w:rPr>
                <w:rFonts w:hint="eastAsia" w:ascii="仿宋" w:hAnsi="仿宋" w:eastAsia="仿宋" w:cs="仿宋"/>
                <w:i w:val="0"/>
                <w:iCs w:val="0"/>
                <w:color w:val="000000"/>
                <w:sz w:val="24"/>
                <w:szCs w:val="24"/>
                <w:u w:val="none"/>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62054C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可持续影响</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599DB3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6306C5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14:paraId="3D1C3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5676472A">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7A5ED5ED">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3BD30E45">
            <w:pPr>
              <w:jc w:val="center"/>
              <w:rPr>
                <w:rFonts w:hint="eastAsia" w:ascii="仿宋" w:hAnsi="仿宋" w:eastAsia="仿宋" w:cs="仿宋"/>
                <w:i w:val="0"/>
                <w:iCs w:val="0"/>
                <w:color w:val="000000"/>
                <w:sz w:val="24"/>
                <w:szCs w:val="24"/>
                <w:u w:val="none"/>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14:paraId="3EAE957F">
            <w:pPr>
              <w:jc w:val="center"/>
              <w:rPr>
                <w:rFonts w:hint="eastAsia" w:ascii="仿宋" w:hAnsi="仿宋" w:eastAsia="仿宋" w:cs="仿宋"/>
                <w:i w:val="0"/>
                <w:iCs w:val="0"/>
                <w:color w:val="000000"/>
                <w:sz w:val="24"/>
                <w:szCs w:val="24"/>
                <w:u w:val="none"/>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1F7526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7"/>
                <w:rFonts w:hint="eastAsia" w:ascii="仿宋" w:hAnsi="仿宋" w:eastAsia="仿宋" w:cs="仿宋"/>
                <w:sz w:val="24"/>
                <w:szCs w:val="24"/>
                <w:lang w:val="en-US" w:eastAsia="zh-CN" w:bidi="ar"/>
              </w:rPr>
              <w:t>服务对象满意度</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01FCCF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1F16BE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14:paraId="53C0F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pct"/>
            <w:tcBorders>
              <w:top w:val="single" w:color="auto" w:sz="4" w:space="0"/>
              <w:left w:val="single" w:color="auto" w:sz="4" w:space="0"/>
              <w:bottom w:val="single" w:color="auto" w:sz="4" w:space="0"/>
              <w:right w:val="single" w:color="auto" w:sz="4" w:space="0"/>
            </w:tcBorders>
            <w:noWrap w:val="0"/>
            <w:vAlign w:val="center"/>
          </w:tcPr>
          <w:p w14:paraId="5A8F348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8"/>
                <w:rFonts w:hint="eastAsia" w:ascii="仿宋" w:hAnsi="仿宋" w:eastAsia="仿宋" w:cs="仿宋"/>
                <w:sz w:val="24"/>
                <w:szCs w:val="24"/>
                <w:lang w:val="en-US" w:eastAsia="zh-CN" w:bidi="ar"/>
              </w:rPr>
              <w:t>总分</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69D8F9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39E06B2A">
            <w:pPr>
              <w:jc w:val="center"/>
              <w:rPr>
                <w:rFonts w:hint="eastAsia" w:ascii="仿宋" w:hAnsi="仿宋" w:eastAsia="仿宋" w:cs="仿宋"/>
                <w:b/>
                <w:bCs/>
                <w:i w:val="0"/>
                <w:iCs w:val="0"/>
                <w:color w:val="000000"/>
                <w:sz w:val="24"/>
                <w:szCs w:val="24"/>
                <w:u w:val="none"/>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26AD359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36EE5DFC">
            <w:pPr>
              <w:jc w:val="center"/>
              <w:rPr>
                <w:rFonts w:hint="eastAsia" w:ascii="仿宋" w:hAnsi="仿宋" w:eastAsia="仿宋" w:cs="仿宋"/>
                <w:b/>
                <w:bCs/>
                <w:i w:val="0"/>
                <w:iCs w:val="0"/>
                <w:color w:val="000000"/>
                <w:sz w:val="24"/>
                <w:szCs w:val="24"/>
                <w:u w:val="none"/>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36F0237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4EA94BE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w:t>
            </w:r>
          </w:p>
        </w:tc>
      </w:tr>
      <w:tr w14:paraId="33CCE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361EB0D7">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Style w:val="8"/>
                <w:rFonts w:hint="eastAsia" w:ascii="仿宋" w:hAnsi="仿宋" w:eastAsia="仿宋" w:cs="仿宋"/>
                <w:sz w:val="24"/>
                <w:szCs w:val="24"/>
                <w:lang w:val="en-US" w:eastAsia="zh-CN" w:bidi="ar"/>
              </w:rPr>
              <w:t>综合评价结果（按表下备注填写）：优</w:t>
            </w:r>
          </w:p>
        </w:tc>
      </w:tr>
    </w:tbl>
    <w:p w14:paraId="7BD574D8">
      <w:pPr>
        <w:spacing w:line="300" w:lineRule="exact"/>
        <w:ind w:firstLine="468" w:firstLineChars="200"/>
        <w:rPr>
          <w:rFonts w:hint="eastAsia" w:ascii="仿宋_GB2312" w:hAnsi="仿宋_GB2312" w:cs="仿宋_GB2312"/>
          <w:sz w:val="24"/>
          <w:szCs w:val="24"/>
        </w:rPr>
      </w:pPr>
      <w:r>
        <w:rPr>
          <w:rFonts w:hint="eastAsia" w:ascii="宋体" w:hAnsi="宋体" w:cs="宋体"/>
          <w:sz w:val="24"/>
          <w:szCs w:val="24"/>
        </w:rPr>
        <w:t>备注：评价结果等次：根据计算结果的分值（</w:t>
      </w:r>
      <w:r>
        <w:rPr>
          <w:rFonts w:ascii="宋体" w:hAnsi="宋体" w:cs="宋体"/>
          <w:sz w:val="24"/>
          <w:szCs w:val="24"/>
        </w:rPr>
        <w:t>S</w:t>
      </w:r>
      <w:r>
        <w:rPr>
          <w:rFonts w:hint="eastAsia" w:ascii="宋体" w:hAnsi="宋体" w:cs="宋体"/>
          <w:sz w:val="24"/>
          <w:szCs w:val="24"/>
        </w:rPr>
        <w:t>），确定考评对象最后达到的等次，具体确定为：考评分值</w:t>
      </w:r>
      <w:r>
        <w:rPr>
          <w:rFonts w:ascii="宋体" w:hAnsi="宋体" w:cs="宋体"/>
          <w:sz w:val="24"/>
          <w:szCs w:val="24"/>
        </w:rPr>
        <w:t>S</w:t>
      </w:r>
      <w:r>
        <w:rPr>
          <w:rFonts w:hint="eastAsia" w:ascii="宋体" w:hAnsi="宋体" w:cs="宋体"/>
          <w:sz w:val="24"/>
          <w:szCs w:val="24"/>
        </w:rPr>
        <w:t>≥</w:t>
      </w:r>
      <w:r>
        <w:rPr>
          <w:rFonts w:ascii="宋体" w:hAnsi="宋体" w:cs="宋体"/>
          <w:sz w:val="24"/>
          <w:szCs w:val="24"/>
        </w:rPr>
        <w:t>90</w:t>
      </w:r>
      <w:r>
        <w:rPr>
          <w:rFonts w:hint="eastAsia" w:ascii="宋体" w:hAnsi="宋体" w:cs="宋体"/>
          <w:sz w:val="24"/>
          <w:szCs w:val="24"/>
        </w:rPr>
        <w:t>，为优；</w:t>
      </w:r>
      <w:r>
        <w:rPr>
          <w:rFonts w:ascii="宋体" w:hAnsi="宋体" w:cs="宋体"/>
          <w:sz w:val="24"/>
          <w:szCs w:val="24"/>
        </w:rPr>
        <w:t>80</w:t>
      </w:r>
      <w:r>
        <w:rPr>
          <w:rFonts w:hint="eastAsia" w:ascii="宋体" w:hAnsi="宋体" w:cs="宋体"/>
          <w:sz w:val="24"/>
          <w:szCs w:val="24"/>
        </w:rPr>
        <w:t>≤</w:t>
      </w:r>
      <w:r>
        <w:rPr>
          <w:rFonts w:ascii="宋体" w:hAnsi="宋体" w:cs="宋体"/>
          <w:sz w:val="24"/>
          <w:szCs w:val="24"/>
        </w:rPr>
        <w:t>S</w:t>
      </w:r>
      <w:r>
        <w:rPr>
          <w:rFonts w:hint="eastAsia" w:ascii="宋体" w:hAnsi="宋体" w:cs="宋体"/>
          <w:sz w:val="24"/>
          <w:szCs w:val="24"/>
        </w:rPr>
        <w:t>＜</w:t>
      </w:r>
      <w:r>
        <w:rPr>
          <w:rFonts w:ascii="宋体" w:hAnsi="宋体" w:cs="宋体"/>
          <w:sz w:val="24"/>
          <w:szCs w:val="24"/>
        </w:rPr>
        <w:t>90</w:t>
      </w:r>
      <w:r>
        <w:rPr>
          <w:rFonts w:hint="eastAsia" w:ascii="宋体" w:hAnsi="宋体" w:cs="宋体"/>
          <w:sz w:val="24"/>
          <w:szCs w:val="24"/>
        </w:rPr>
        <w:t>为良；</w:t>
      </w:r>
      <w:r>
        <w:rPr>
          <w:rFonts w:ascii="宋体" w:hAnsi="宋体" w:cs="宋体"/>
          <w:sz w:val="24"/>
          <w:szCs w:val="24"/>
        </w:rPr>
        <w:t>70</w:t>
      </w:r>
      <w:r>
        <w:rPr>
          <w:rFonts w:hint="eastAsia" w:ascii="宋体" w:hAnsi="宋体" w:cs="宋体"/>
          <w:sz w:val="24"/>
          <w:szCs w:val="24"/>
        </w:rPr>
        <w:t>≤</w:t>
      </w:r>
      <w:r>
        <w:rPr>
          <w:rFonts w:ascii="宋体" w:hAnsi="宋体" w:cs="宋体"/>
          <w:sz w:val="24"/>
          <w:szCs w:val="24"/>
        </w:rPr>
        <w:t>S</w:t>
      </w:r>
      <w:r>
        <w:rPr>
          <w:rFonts w:hint="eastAsia" w:ascii="宋体" w:hAnsi="宋体" w:cs="宋体"/>
          <w:sz w:val="24"/>
          <w:szCs w:val="24"/>
        </w:rPr>
        <w:t>＜</w:t>
      </w:r>
      <w:r>
        <w:rPr>
          <w:rFonts w:ascii="宋体" w:hAnsi="宋体" w:cs="宋体"/>
          <w:sz w:val="24"/>
          <w:szCs w:val="24"/>
        </w:rPr>
        <w:t>80</w:t>
      </w:r>
      <w:r>
        <w:rPr>
          <w:rFonts w:hint="eastAsia" w:ascii="宋体" w:hAnsi="宋体" w:cs="宋体"/>
          <w:sz w:val="24"/>
          <w:szCs w:val="24"/>
        </w:rPr>
        <w:t>为中；</w:t>
      </w:r>
      <w:r>
        <w:rPr>
          <w:rFonts w:ascii="宋体" w:hAnsi="宋体" w:cs="宋体"/>
          <w:sz w:val="24"/>
          <w:szCs w:val="24"/>
        </w:rPr>
        <w:t>60</w:t>
      </w:r>
      <w:r>
        <w:rPr>
          <w:rFonts w:hint="eastAsia" w:ascii="宋体" w:hAnsi="宋体" w:cs="宋体"/>
          <w:sz w:val="24"/>
          <w:szCs w:val="24"/>
        </w:rPr>
        <w:t>≤</w:t>
      </w:r>
      <w:r>
        <w:rPr>
          <w:rFonts w:ascii="宋体" w:hAnsi="宋体" w:cs="宋体"/>
          <w:sz w:val="24"/>
          <w:szCs w:val="24"/>
        </w:rPr>
        <w:t>S</w:t>
      </w:r>
      <w:r>
        <w:rPr>
          <w:rFonts w:hint="eastAsia" w:ascii="宋体" w:hAnsi="宋体" w:cs="宋体"/>
          <w:sz w:val="24"/>
          <w:szCs w:val="24"/>
        </w:rPr>
        <w:t>＜</w:t>
      </w:r>
      <w:r>
        <w:rPr>
          <w:rFonts w:ascii="宋体" w:hAnsi="宋体" w:cs="宋体"/>
          <w:sz w:val="24"/>
          <w:szCs w:val="24"/>
        </w:rPr>
        <w:t>70</w:t>
      </w:r>
      <w:r>
        <w:rPr>
          <w:rFonts w:hint="eastAsia" w:ascii="宋体" w:hAnsi="宋体" w:cs="宋体"/>
          <w:sz w:val="24"/>
          <w:szCs w:val="24"/>
        </w:rPr>
        <w:t>为合格；</w:t>
      </w:r>
      <w:r>
        <w:rPr>
          <w:rFonts w:ascii="宋体" w:hAnsi="宋体" w:cs="宋体"/>
          <w:sz w:val="24"/>
          <w:szCs w:val="24"/>
        </w:rPr>
        <w:t>S</w:t>
      </w:r>
      <w:r>
        <w:rPr>
          <w:rFonts w:hint="eastAsia" w:ascii="宋体" w:hAnsi="宋体" w:cs="宋体"/>
          <w:sz w:val="24"/>
          <w:szCs w:val="24"/>
        </w:rPr>
        <w:t>＜</w:t>
      </w:r>
      <w:r>
        <w:rPr>
          <w:rFonts w:ascii="宋体" w:hAnsi="宋体" w:cs="宋体"/>
          <w:sz w:val="24"/>
          <w:szCs w:val="24"/>
        </w:rPr>
        <w:t>60</w:t>
      </w:r>
      <w:r>
        <w:rPr>
          <w:rFonts w:hint="eastAsia" w:ascii="宋体" w:hAnsi="宋体" w:cs="宋体"/>
          <w:sz w:val="24"/>
          <w:szCs w:val="24"/>
        </w:rPr>
        <w:t>，为不合格。</w:t>
      </w:r>
    </w:p>
    <w:p w14:paraId="47C44CA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jc w:val="both"/>
        <w:textAlignment w:val="auto"/>
        <w:rPr>
          <w:rFonts w:ascii="黑体" w:hAnsi="黑体" w:eastAsia="黑体" w:cs="黑体"/>
          <w:sz w:val="24"/>
          <w:szCs w:val="24"/>
        </w:rPr>
      </w:pPr>
      <w:r>
        <w:rPr>
          <w:rFonts w:hint="eastAsia" w:ascii="黑体" w:hAnsi="黑体" w:eastAsia="黑体" w:cs="黑体"/>
          <w:sz w:val="24"/>
          <w:szCs w:val="24"/>
        </w:rPr>
        <w:t>四、绩效评价指标分析</w:t>
      </w:r>
    </w:p>
    <w:p w14:paraId="2360D2C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420" w:firstLineChars="0"/>
        <w:jc w:val="both"/>
        <w:textAlignment w:val="auto"/>
        <w:rPr>
          <w:rFonts w:hint="eastAsia" w:ascii="Times New Roman" w:hAnsi="Times New Roman" w:cs="Times New Roman"/>
          <w:b/>
          <w:bCs/>
          <w:sz w:val="24"/>
          <w:szCs w:val="24"/>
        </w:rPr>
      </w:pPr>
      <w:r>
        <w:rPr>
          <w:rFonts w:hint="eastAsia" w:ascii="Times New Roman" w:hAnsi="Times New Roman" w:cs="Times New Roman"/>
          <w:b/>
          <w:bCs/>
          <w:sz w:val="24"/>
          <w:szCs w:val="24"/>
        </w:rPr>
        <w:t>项目决策情况。</w:t>
      </w:r>
    </w:p>
    <w:p w14:paraId="453F44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rPr>
      </w:pPr>
      <w:r>
        <w:rPr>
          <w:rFonts w:hint="eastAsia" w:ascii="Times New Roman" w:hAnsi="Times New Roman" w:cs="Times New Roman"/>
          <w:sz w:val="24"/>
          <w:szCs w:val="24"/>
          <w:lang w:val="en-US" w:eastAsia="zh-CN"/>
        </w:rPr>
        <w:t>由于近年来森林增长工程建设、增绿增效工程、石质山地造林绿化“森林进村庄、经果林进庭院”等林业重点工程的实施，我市造林面积迅速扩大，森林资源迅速增加。随着造林面积的不断扩大，林业有害生物的发生也呈上升趋势，严重威胁我市林业生态安全，加强林业有害生物防治工作将是一项长期而艰巨的工作，要保持生态平衡，维护林业生态安全，保护森林资源就必须加强对林业有害生物的监测预报、防治及检疫体系建设，不断完善各项基础建设。依据《安徽省人民政府关于进一步加强林业有害生物防治工作的实施意见》（皖政办〔2014〕27号）；《淮北市人民政府办公室关于进一步加强林业有害生物防控工作的实施意见》（淮政办〔2015〕26号）；《安徽省林业有害生物防治条例》； 国家林业和草原局公告（2023年第5号）（2023年美国白蛾疫区）；关于上报《淮北市2023年美国白蛾防控实施方案》的报告（淮重防指办〔2022〕2号）等文件精神，2023年继续实施林业有害生物防治建设项目,是适应当前林业有害生物防治工作的需要，也是防灾减灾维护林业生态安全的需要，更是保障我市林业快速发展的迫切需要。本项目开展</w:t>
      </w:r>
      <w:r>
        <w:rPr>
          <w:rFonts w:hint="eastAsia" w:ascii="Times New Roman" w:hAnsi="Times New Roman" w:cs="Times New Roman"/>
          <w:sz w:val="24"/>
          <w:szCs w:val="24"/>
          <w:lang w:eastAsia="zh-CN"/>
        </w:rPr>
        <w:t>淮北市林业有害生物监测、草履蚧防治、天牛防治和地面</w:t>
      </w:r>
      <w:r>
        <w:rPr>
          <w:rFonts w:hint="eastAsia" w:ascii="Times New Roman" w:hAnsi="Times New Roman" w:cs="Times New Roman"/>
          <w:sz w:val="24"/>
          <w:szCs w:val="24"/>
          <w:lang w:val="en-US" w:eastAsia="zh-CN"/>
        </w:rPr>
        <w:t>防治美国白蛾等林业有害生物项目。</w:t>
      </w:r>
    </w:p>
    <w:p w14:paraId="5654B1F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420" w:firstLineChars="0"/>
        <w:jc w:val="both"/>
        <w:textAlignment w:val="auto"/>
        <w:rPr>
          <w:rFonts w:hint="eastAsia" w:ascii="Times New Roman" w:hAnsi="Times New Roman" w:cs="Times New Roman"/>
          <w:b/>
          <w:bCs/>
          <w:sz w:val="24"/>
          <w:szCs w:val="24"/>
        </w:rPr>
      </w:pPr>
      <w:r>
        <w:rPr>
          <w:rFonts w:hint="eastAsia" w:ascii="Times New Roman" w:hAnsi="Times New Roman" w:cs="Times New Roman"/>
          <w:b/>
          <w:bCs/>
          <w:sz w:val="24"/>
          <w:szCs w:val="24"/>
        </w:rPr>
        <w:t>项目过程情况。</w:t>
      </w:r>
    </w:p>
    <w:p w14:paraId="3ECA17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rPr>
        <w:t>202</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年度林业有害生物防治体系建设计划投资</w:t>
      </w:r>
      <w:r>
        <w:rPr>
          <w:rFonts w:hint="eastAsia" w:ascii="Times New Roman" w:hAnsi="Times New Roman" w:cs="Times New Roman"/>
          <w:sz w:val="24"/>
          <w:szCs w:val="24"/>
          <w:lang w:val="en-US" w:eastAsia="zh-CN"/>
        </w:rPr>
        <w:t>88</w:t>
      </w:r>
      <w:r>
        <w:rPr>
          <w:rFonts w:hint="eastAsia" w:ascii="Times New Roman" w:hAnsi="Times New Roman" w:cs="Times New Roman"/>
          <w:sz w:val="24"/>
          <w:szCs w:val="24"/>
        </w:rPr>
        <w:t>万元，实际到位资金</w:t>
      </w:r>
      <w:r>
        <w:rPr>
          <w:rFonts w:hint="eastAsia" w:ascii="Times New Roman" w:hAnsi="Times New Roman" w:cs="Times New Roman"/>
          <w:sz w:val="24"/>
          <w:szCs w:val="24"/>
          <w:lang w:val="en-US" w:eastAsia="zh-CN"/>
        </w:rPr>
        <w:t>88</w:t>
      </w:r>
      <w:r>
        <w:rPr>
          <w:rFonts w:hint="eastAsia" w:ascii="Times New Roman" w:hAnsi="Times New Roman" w:cs="Times New Roman"/>
          <w:sz w:val="24"/>
          <w:szCs w:val="24"/>
        </w:rPr>
        <w:t>万元，全年实际支出</w:t>
      </w:r>
      <w:r>
        <w:rPr>
          <w:rFonts w:hint="eastAsia" w:ascii="Times New Roman" w:hAnsi="Times New Roman" w:cs="Times New Roman"/>
          <w:sz w:val="24"/>
          <w:szCs w:val="24"/>
          <w:lang w:val="en-US" w:eastAsia="zh-CN"/>
        </w:rPr>
        <w:t>63.06</w:t>
      </w:r>
      <w:r>
        <w:rPr>
          <w:rFonts w:hint="eastAsia" w:ascii="Times New Roman" w:hAnsi="Times New Roman" w:cs="Times New Roman"/>
          <w:sz w:val="24"/>
          <w:szCs w:val="24"/>
        </w:rPr>
        <w:t>万元。其中聘请了30名林业有害生物兼职测报员，发放监测补助12万元</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采购诱捕器100个，投入资金27750元；草履蚧主要采用缠胶带阻隔防治，并采用化学防治方法清除树下若虫，资金投入19.85万元</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美国白蛾及杨扇舟蛾类害虫主要采取飞机施药防治，张贴明白纸2万份，资金投入6200元；天牛类害虫主要采取清理枯死木防治，清理枯死木1万亩，投入资金12万元</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购买农药投入资金2800元，实现了有虫不成灾的目标，较好地完成了省下达的林业有害生物防治目标绩效评价指标。</w:t>
      </w:r>
    </w:p>
    <w:p w14:paraId="062A66A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420" w:firstLineChars="0"/>
        <w:jc w:val="both"/>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rPr>
        <w:t>项目产出情况。</w:t>
      </w:r>
    </w:p>
    <w:p w14:paraId="29EBC5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rPr>
      </w:pPr>
      <w:r>
        <w:rPr>
          <w:rFonts w:hint="eastAsia" w:ascii="Times New Roman" w:hAnsi="Times New Roman" w:cs="Times New Roman"/>
          <w:sz w:val="24"/>
          <w:szCs w:val="24"/>
        </w:rPr>
        <w:t>淮北市开展地面防治林业有害生物（以美国白蛾和杨树食叶害虫为主）</w:t>
      </w:r>
      <w:r>
        <w:rPr>
          <w:rFonts w:hint="eastAsia" w:ascii="Times New Roman" w:hAnsi="Times New Roman" w:cs="Times New Roman"/>
          <w:sz w:val="24"/>
          <w:szCs w:val="24"/>
          <w:lang w:eastAsia="zh-CN"/>
        </w:rPr>
        <w:t>项目</w:t>
      </w:r>
      <w:r>
        <w:rPr>
          <w:rFonts w:hint="eastAsia" w:ascii="Times New Roman" w:hAnsi="Times New Roman" w:cs="Times New Roman"/>
          <w:sz w:val="24"/>
          <w:szCs w:val="24"/>
        </w:rPr>
        <w:t>，计划作业面积约3000公里（市辖区飞机防治避让的区域）；清理东部山场侧柏枯死木1万亩；防治草履蚧</w:t>
      </w:r>
      <w:r>
        <w:rPr>
          <w:rFonts w:hint="eastAsia" w:ascii="Times New Roman" w:hAnsi="Times New Roman" w:cs="Times New Roman"/>
          <w:sz w:val="24"/>
          <w:szCs w:val="24"/>
          <w:lang w:val="en-US" w:eastAsia="zh-CN"/>
        </w:rPr>
        <w:t>4</w:t>
      </w:r>
      <w:r>
        <w:rPr>
          <w:rFonts w:hint="eastAsia" w:ascii="Times New Roman" w:hAnsi="Times New Roman" w:cs="Times New Roman"/>
          <w:sz w:val="24"/>
          <w:szCs w:val="24"/>
        </w:rPr>
        <w:t>000亩</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这三个项目均验收合格，</w:t>
      </w:r>
      <w:r>
        <w:rPr>
          <w:rFonts w:hint="eastAsia" w:ascii="Times New Roman" w:hAnsi="Times New Roman" w:cs="Times New Roman"/>
          <w:sz w:val="24"/>
          <w:szCs w:val="24"/>
        </w:rPr>
        <w:t>美国白蛾虫株率不高于2%，主要风景区、交通要道两侧、敏感场所周边等区域的虫害失叶率不高于10%，其他地区虫害失叶率不高于15%的防治任务。林业有害生物成灾率指标≤2.83‰，我市2023年度林业有害生物成灾率为0，100%完成了林业有害生物防治当期任务。</w:t>
      </w:r>
    </w:p>
    <w:p w14:paraId="3BBA7E9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420" w:firstLineChars="0"/>
        <w:jc w:val="both"/>
        <w:textAlignment w:val="auto"/>
        <w:rPr>
          <w:rFonts w:hint="eastAsia" w:ascii="Times New Roman" w:hAnsi="Times New Roman" w:cs="Times New Roman"/>
          <w:b/>
          <w:bCs/>
          <w:sz w:val="24"/>
          <w:szCs w:val="24"/>
        </w:rPr>
      </w:pPr>
      <w:r>
        <w:rPr>
          <w:rFonts w:hint="eastAsia" w:ascii="Times New Roman" w:hAnsi="Times New Roman" w:cs="Times New Roman"/>
          <w:b/>
          <w:bCs/>
          <w:sz w:val="24"/>
          <w:szCs w:val="24"/>
        </w:rPr>
        <w:t>项目效益情况。</w:t>
      </w:r>
    </w:p>
    <w:p w14:paraId="28631A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rPr>
      </w:pPr>
      <w:r>
        <w:rPr>
          <w:rFonts w:hint="eastAsia" w:ascii="Times New Roman" w:hAnsi="Times New Roman" w:cs="Times New Roman"/>
          <w:sz w:val="24"/>
          <w:szCs w:val="24"/>
        </w:rPr>
        <w:t>通过该项目的实施，有效地控制了美国白蛾疫情的扩散和蔓延，维护了林业生态安全，提升了森林质量，保护了森林资源，综上所述，通过评估，项目实施区生态效益非常明显，经济效益和社会效益明显。</w:t>
      </w:r>
    </w:p>
    <w:p w14:paraId="626E2C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五、</w:t>
      </w:r>
      <w:r>
        <w:rPr>
          <w:rFonts w:hint="eastAsia" w:ascii="黑体" w:hAnsi="黑体" w:eastAsia="黑体" w:cs="黑体"/>
          <w:sz w:val="24"/>
          <w:szCs w:val="24"/>
        </w:rPr>
        <w:t>主要经验及做法</w:t>
      </w:r>
    </w:p>
    <w:p w14:paraId="66372E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rPr>
      </w:pPr>
      <w:r>
        <w:rPr>
          <w:rFonts w:hint="eastAsia" w:ascii="Times New Roman" w:hAnsi="Times New Roman" w:cs="Times New Roman"/>
          <w:sz w:val="24"/>
          <w:szCs w:val="24"/>
        </w:rPr>
        <w:t>围绕“全面监测、及时预警、准确预报、精准实施”的总要求</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全面开展林业有害生物监测</w:t>
      </w:r>
      <w:r>
        <w:rPr>
          <w:rFonts w:hint="eastAsia" w:ascii="Times New Roman" w:hAnsi="Times New Roman" w:cs="Times New Roman"/>
          <w:sz w:val="24"/>
          <w:szCs w:val="24"/>
          <w:lang w:eastAsia="zh-CN"/>
        </w:rPr>
        <w:t>及防治</w:t>
      </w:r>
      <w:r>
        <w:rPr>
          <w:rFonts w:hint="eastAsia" w:ascii="Times New Roman" w:hAnsi="Times New Roman" w:cs="Times New Roman"/>
          <w:sz w:val="24"/>
          <w:szCs w:val="24"/>
        </w:rPr>
        <w:t>工作</w:t>
      </w:r>
      <w:r>
        <w:rPr>
          <w:rFonts w:hint="eastAsia" w:ascii="Times New Roman" w:hAnsi="Times New Roman" w:cs="Times New Roman"/>
          <w:sz w:val="24"/>
          <w:szCs w:val="24"/>
          <w:lang w:eastAsia="zh-CN"/>
        </w:rPr>
        <w:t>，主要</w:t>
      </w:r>
      <w:r>
        <w:rPr>
          <w:rFonts w:hint="eastAsia" w:ascii="Times New Roman" w:hAnsi="Times New Roman" w:cs="Times New Roman"/>
          <w:sz w:val="24"/>
          <w:szCs w:val="24"/>
        </w:rPr>
        <w:t>防治对象为美国白蛾</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杨扇舟蛾类、草履蚧和天牛等林业有害生物，完成美国白蛾虫株率不高于2%</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主要风景区、交通要道两侧、敏感场所周边等区域的虫害失叶率不高于10%，其他地区虫害失叶率不高于15%的防治任务。</w:t>
      </w:r>
      <w:r>
        <w:rPr>
          <w:rFonts w:hint="eastAsia" w:ascii="Times New Roman" w:hAnsi="Times New Roman" w:cs="Times New Roman"/>
          <w:sz w:val="24"/>
          <w:szCs w:val="24"/>
          <w:lang w:eastAsia="zh-CN"/>
        </w:rPr>
        <w:t>其中</w:t>
      </w:r>
      <w:r>
        <w:rPr>
          <w:rFonts w:hint="eastAsia" w:ascii="Times New Roman" w:hAnsi="Times New Roman" w:cs="Times New Roman"/>
          <w:sz w:val="24"/>
          <w:szCs w:val="24"/>
        </w:rPr>
        <w:t>草履蚧主要采用缠胶带阻隔防治，并采用化学防治方法清除树下若虫</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美国白蛾及杨扇舟蛾类害虫主要采取飞机施药</w:t>
      </w:r>
      <w:r>
        <w:rPr>
          <w:rFonts w:hint="eastAsia" w:ascii="Times New Roman" w:hAnsi="Times New Roman" w:cs="Times New Roman"/>
          <w:sz w:val="24"/>
          <w:szCs w:val="24"/>
          <w:lang w:eastAsia="zh-CN"/>
        </w:rPr>
        <w:t>和地面</w:t>
      </w:r>
      <w:r>
        <w:rPr>
          <w:rFonts w:hint="eastAsia" w:ascii="Times New Roman" w:hAnsi="Times New Roman" w:cs="Times New Roman"/>
          <w:sz w:val="24"/>
          <w:szCs w:val="24"/>
        </w:rPr>
        <w:t>防治</w:t>
      </w:r>
      <w:r>
        <w:rPr>
          <w:rFonts w:hint="eastAsia" w:ascii="Times New Roman" w:hAnsi="Times New Roman" w:cs="Times New Roman"/>
          <w:sz w:val="24"/>
          <w:szCs w:val="24"/>
          <w:lang w:eastAsia="zh-CN"/>
        </w:rPr>
        <w:t>相结合的方式进行；</w:t>
      </w:r>
      <w:r>
        <w:rPr>
          <w:rFonts w:hint="eastAsia" w:ascii="Times New Roman" w:hAnsi="Times New Roman" w:cs="Times New Roman"/>
          <w:sz w:val="24"/>
          <w:szCs w:val="24"/>
        </w:rPr>
        <w:t>天牛类害虫主要采取</w:t>
      </w:r>
      <w:r>
        <w:rPr>
          <w:rFonts w:hint="eastAsia" w:ascii="Times New Roman" w:hAnsi="Times New Roman" w:cs="Times New Roman"/>
          <w:sz w:val="24"/>
          <w:szCs w:val="24"/>
          <w:lang w:eastAsia="zh-CN"/>
        </w:rPr>
        <w:t>清理枯死木的方式</w:t>
      </w:r>
      <w:r>
        <w:rPr>
          <w:rFonts w:hint="eastAsia" w:ascii="Times New Roman" w:hAnsi="Times New Roman" w:cs="Times New Roman"/>
          <w:sz w:val="24"/>
          <w:szCs w:val="24"/>
        </w:rPr>
        <w:t>防治</w:t>
      </w:r>
      <w:r>
        <w:rPr>
          <w:rFonts w:hint="eastAsia" w:ascii="Times New Roman" w:hAnsi="Times New Roman" w:cs="Times New Roman"/>
          <w:sz w:val="24"/>
          <w:szCs w:val="24"/>
          <w:lang w:eastAsia="zh-CN"/>
        </w:rPr>
        <w:t>。</w:t>
      </w:r>
    </w:p>
    <w:p w14:paraId="7A9F4F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六、</w:t>
      </w:r>
      <w:r>
        <w:rPr>
          <w:rFonts w:hint="eastAsia" w:ascii="黑体" w:hAnsi="黑体" w:eastAsia="黑体" w:cs="黑体"/>
          <w:sz w:val="24"/>
          <w:szCs w:val="24"/>
        </w:rPr>
        <w:t>存在问题及原因分析</w:t>
      </w:r>
    </w:p>
    <w:p w14:paraId="17F8A2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年初预算数88万元，预算执行率为71.66%，原因是飞机施药防治美国白蛾等林业有害生物效果较好，不需要防治3000公里，根据需要实际防治了937.02公里。下一步将继续加强预算绩效管理工作，促进预算执行率的提高。</w:t>
      </w:r>
    </w:p>
    <w:p w14:paraId="065B69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jc w:val="both"/>
        <w:textAlignment w:val="auto"/>
        <w:rPr>
          <w:rFonts w:hint="eastAsia" w:ascii="黑体" w:hAnsi="黑体" w:eastAsia="黑体" w:cs="黑体"/>
          <w:sz w:val="24"/>
          <w:szCs w:val="24"/>
        </w:rPr>
      </w:pPr>
      <w:r>
        <w:rPr>
          <w:rFonts w:hint="eastAsia" w:ascii="黑体" w:hAnsi="黑体" w:eastAsia="黑体" w:cs="黑体"/>
          <w:sz w:val="24"/>
          <w:szCs w:val="24"/>
        </w:rPr>
        <w:t>七、有关建议</w:t>
      </w:r>
    </w:p>
    <w:p w14:paraId="68A085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实施林业有害生物防治体系建设项目产生的社会效益、经济效益和生态效益十分显著，群众对该项目的支持度和满意度都很高，以后应在飞防和地防喷洒农药的同时注意保护环境和水体不受药剂污染。对于项目支出绩效评价结果进行公开，接受群众监督。</w:t>
      </w:r>
    </w:p>
    <w:p w14:paraId="797860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八、其他需要说明的问题</w:t>
      </w:r>
    </w:p>
    <w:p w14:paraId="6B4E76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无。</w:t>
      </w:r>
    </w:p>
    <w:p w14:paraId="008CED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lang w:val="en-US" w:eastAsia="zh-CN"/>
        </w:rPr>
      </w:pPr>
    </w:p>
    <w:p w14:paraId="219D17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lang w:val="en-US" w:eastAsia="zh-CN"/>
        </w:rPr>
      </w:pPr>
    </w:p>
    <w:p w14:paraId="10AAC3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lang w:val="en-US" w:eastAsia="zh-CN"/>
        </w:rPr>
      </w:pPr>
    </w:p>
    <w:p w14:paraId="4B6B80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lang w:val="en-US" w:eastAsia="zh-CN"/>
        </w:rPr>
      </w:pPr>
    </w:p>
    <w:p w14:paraId="6C7E46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lang w:val="en-US" w:eastAsia="zh-CN"/>
        </w:rPr>
      </w:pPr>
    </w:p>
    <w:p w14:paraId="502A9A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lang w:val="en-US" w:eastAsia="zh-CN"/>
        </w:rPr>
      </w:pPr>
    </w:p>
    <w:p w14:paraId="005311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lang w:val="en-US" w:eastAsia="zh-CN"/>
        </w:rPr>
      </w:pPr>
    </w:p>
    <w:p w14:paraId="3351BC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lang w:val="en-US" w:eastAsia="zh-CN"/>
        </w:rPr>
      </w:pPr>
    </w:p>
    <w:p w14:paraId="7664A4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lang w:val="en-US" w:eastAsia="zh-CN"/>
        </w:rPr>
      </w:pPr>
    </w:p>
    <w:p w14:paraId="79D42A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lang w:val="en-US" w:eastAsia="zh-CN"/>
        </w:rPr>
      </w:pPr>
    </w:p>
    <w:p w14:paraId="470436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lang w:val="en-US" w:eastAsia="zh-CN"/>
        </w:rPr>
      </w:pPr>
    </w:p>
    <w:p w14:paraId="313B9E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lang w:val="en-US" w:eastAsia="zh-CN"/>
        </w:rPr>
      </w:pPr>
    </w:p>
    <w:p w14:paraId="1B80F2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68" w:firstLineChars="200"/>
        <w:jc w:val="both"/>
        <w:textAlignment w:val="auto"/>
        <w:rPr>
          <w:rFonts w:hint="eastAsia" w:ascii="Times New Roman" w:hAnsi="Times New Roman" w:cs="Times New Roman"/>
          <w:sz w:val="24"/>
          <w:szCs w:val="24"/>
          <w:lang w:val="en-US" w:eastAsia="zh-CN"/>
        </w:rPr>
      </w:pPr>
    </w:p>
    <w:p w14:paraId="144476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Times New Roman" w:hAnsi="Times New Roman" w:cs="Times New Roman"/>
          <w:sz w:val="24"/>
          <w:szCs w:val="24"/>
          <w:lang w:val="en-US" w:eastAsia="zh-CN"/>
        </w:rPr>
      </w:pPr>
    </w:p>
    <w:p w14:paraId="3AE9B6F2">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color w:val="auto"/>
          <w:sz w:val="24"/>
          <w:szCs w:val="24"/>
        </w:rPr>
      </w:pPr>
      <w:r>
        <w:rPr>
          <w:rFonts w:hint="eastAsia" w:ascii="方正小标宋_GBK" w:hAnsi="Arial" w:eastAsia="方正小标宋_GBK" w:cs="Arial"/>
          <w:b w:val="0"/>
          <w:bCs w:val="0"/>
          <w:sz w:val="24"/>
          <w:szCs w:val="24"/>
        </w:rPr>
        <w:t>相山剩余山场植树造</w:t>
      </w:r>
      <w:r>
        <w:rPr>
          <w:rFonts w:hint="eastAsia" w:ascii="方正小标宋_GBK" w:hAnsi="Arial" w:eastAsia="方正小标宋_GBK" w:cs="Arial"/>
          <w:sz w:val="24"/>
          <w:szCs w:val="24"/>
        </w:rPr>
        <w:t>林</w:t>
      </w:r>
      <w:r>
        <w:rPr>
          <w:rFonts w:hint="eastAsia" w:ascii="方正小标宋_GBK" w:hAnsi="Arial" w:eastAsia="方正小标宋_GBK" w:cs="Arial"/>
          <w:color w:val="auto"/>
          <w:sz w:val="24"/>
          <w:szCs w:val="24"/>
        </w:rPr>
        <w:t>项目支出</w:t>
      </w:r>
    </w:p>
    <w:p w14:paraId="792B4DEC">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color w:val="auto"/>
          <w:sz w:val="24"/>
          <w:szCs w:val="24"/>
        </w:rPr>
      </w:pPr>
      <w:r>
        <w:rPr>
          <w:rFonts w:hint="eastAsia" w:ascii="方正小标宋_GBK" w:hAnsi="Arial" w:eastAsia="方正小标宋_GBK" w:cs="Arial"/>
          <w:color w:val="auto"/>
          <w:sz w:val="24"/>
          <w:szCs w:val="24"/>
        </w:rPr>
        <w:t>绩效评价报告</w:t>
      </w:r>
    </w:p>
    <w:p w14:paraId="3425675E">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color w:val="auto"/>
          <w:sz w:val="24"/>
          <w:szCs w:val="24"/>
        </w:rPr>
      </w:pPr>
    </w:p>
    <w:p w14:paraId="6B03083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ascii="黑体" w:hAnsi="黑体" w:eastAsia="黑体" w:cs="黑体"/>
          <w:color w:val="auto"/>
          <w:sz w:val="24"/>
          <w:szCs w:val="24"/>
        </w:rPr>
      </w:pPr>
      <w:r>
        <w:rPr>
          <w:rFonts w:hint="eastAsia" w:ascii="黑体" w:hAnsi="黑体" w:eastAsia="黑体" w:cs="黑体"/>
          <w:color w:val="auto"/>
          <w:sz w:val="24"/>
          <w:szCs w:val="24"/>
        </w:rPr>
        <w:t>一、项目基本情况</w:t>
      </w:r>
    </w:p>
    <w:p w14:paraId="1D6F3F6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仿宋_GB2312" w:hAnsi="仿宋_GB2312" w:cs="仿宋_GB2312"/>
          <w:b/>
          <w:bCs/>
          <w:color w:val="auto"/>
          <w:sz w:val="24"/>
          <w:szCs w:val="24"/>
        </w:rPr>
      </w:pPr>
      <w:r>
        <w:rPr>
          <w:rFonts w:hint="eastAsia" w:ascii="仿宋_GB2312" w:hAnsi="仿宋_GB2312" w:cs="仿宋_GB2312"/>
          <w:b/>
          <w:bCs/>
          <w:color w:val="auto"/>
          <w:sz w:val="24"/>
          <w:szCs w:val="24"/>
        </w:rPr>
        <w:t>（一）项目概况</w:t>
      </w:r>
    </w:p>
    <w:p w14:paraId="13BDA2A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2002年，市政府决定对相山实行封山育林，并实施相山绿化工程，对我市境内的相山山脉整体进行绿化，分期实施。按照市政府的相山绿化规划，市林业局具体组织实施。目前已实施了9期绿化工程，完成绿化面积2.87万亩，栽植各类苗木、花灌木等15个品种200余万株，苗木成活率平均达97%以上，特别是近年来，市林业局通过对相山绿化苗木采取除草、修枝、松土、施肥等措施，加大抚育管理力度，相山绿化苗木生长旺盛，相山森林植被得到快速恢复，市民的居住环境、生态环境的得到逐年改善，生态效益和社会效益明显。按照市委、市政府的要求，要加大相山绿化范围，实施相山绿化剩余山场植树造林项目，使剩余山场迅速绿化，继续巩固相山绿化造林成果。</w:t>
      </w:r>
    </w:p>
    <w:p w14:paraId="2A2747B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开展相山剩余山场植树造林项目，完成方山、炸药库西部山场、方山陵园西部山场等3个山场绿化。造林总面积约640亩，其中无林地490亩、疏林地补植150亩。通过春季造林、雨季补植的方式，栽植侧柏、黄栌、连翘、蔷薇各类树种苗木共计76100株。目前，该项目已完成挖穴、苗木栽植及第一阶段苗木保存率验收。项目总投资356万元，其中2023年度资金投入247万元，已按阶段性付款246.97万元。</w:t>
      </w:r>
    </w:p>
    <w:p w14:paraId="689A8039">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00"/>
        <w:jc w:val="both"/>
        <w:textAlignment w:val="auto"/>
        <w:rPr>
          <w:rFonts w:hint="eastAsia"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项目绩效目标。包括总体目标和阶段性目标</w:t>
      </w:r>
    </w:p>
    <w:p w14:paraId="16997AB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68" w:firstLineChars="200"/>
        <w:textAlignment w:val="auto"/>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zh-CN"/>
        </w:rPr>
        <w:t>完成方山、炸药库西部山场、方山陵园西部山场等</w:t>
      </w:r>
      <w:r>
        <w:rPr>
          <w:rFonts w:hint="eastAsia" w:ascii="Times New Roman" w:hAnsi="Times New Roman" w:eastAsia="仿宋_GB2312" w:cs="Times New Roman"/>
          <w:color w:val="auto"/>
          <w:sz w:val="24"/>
          <w:szCs w:val="24"/>
          <w:lang w:val="en-US" w:eastAsia="zh-CN"/>
        </w:rPr>
        <w:t>3</w:t>
      </w:r>
      <w:r>
        <w:rPr>
          <w:rFonts w:hint="eastAsia" w:ascii="Times New Roman" w:hAnsi="Times New Roman" w:eastAsia="仿宋_GB2312" w:cs="Times New Roman"/>
          <w:color w:val="auto"/>
          <w:sz w:val="24"/>
          <w:szCs w:val="24"/>
          <w:lang w:val="zh-CN"/>
        </w:rPr>
        <w:t>个山场绿化，造林总面积约</w:t>
      </w:r>
      <w:r>
        <w:rPr>
          <w:rFonts w:hint="eastAsia" w:ascii="Times New Roman" w:hAnsi="Times New Roman" w:eastAsia="仿宋_GB2312" w:cs="Times New Roman"/>
          <w:color w:val="auto"/>
          <w:sz w:val="24"/>
          <w:szCs w:val="24"/>
          <w:lang w:val="en-US" w:eastAsia="zh-CN"/>
        </w:rPr>
        <w:t>640</w:t>
      </w:r>
      <w:r>
        <w:rPr>
          <w:rFonts w:hint="eastAsia" w:ascii="Times New Roman" w:hAnsi="Times New Roman" w:eastAsia="仿宋_GB2312" w:cs="Times New Roman"/>
          <w:color w:val="auto"/>
          <w:sz w:val="24"/>
          <w:szCs w:val="24"/>
          <w:lang w:val="zh-CN"/>
        </w:rPr>
        <w:t>亩。</w:t>
      </w:r>
      <w:r>
        <w:rPr>
          <w:rFonts w:hint="eastAsia" w:ascii="Times New Roman" w:hAnsi="Times New Roman" w:eastAsia="仿宋_GB2312" w:cs="Times New Roman"/>
          <w:color w:val="auto"/>
          <w:sz w:val="24"/>
          <w:szCs w:val="24"/>
          <w:lang w:eastAsia="zh-CN"/>
        </w:rPr>
        <w:t>通过</w:t>
      </w:r>
      <w:r>
        <w:rPr>
          <w:rFonts w:hint="eastAsia" w:ascii="Times New Roman" w:hAnsi="Times New Roman" w:eastAsia="仿宋_GB2312" w:cs="Times New Roman"/>
          <w:color w:val="auto"/>
          <w:sz w:val="24"/>
          <w:szCs w:val="24"/>
        </w:rPr>
        <w:t>春季造林、雨季补植的方式</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rPr>
        <w:t>栽植各类树种苗木</w:t>
      </w:r>
      <w:r>
        <w:rPr>
          <w:rFonts w:hint="eastAsia" w:ascii="Times New Roman" w:hAnsi="Times New Roman" w:eastAsia="仿宋_GB2312" w:cs="Times New Roman"/>
          <w:color w:val="auto"/>
          <w:sz w:val="24"/>
          <w:szCs w:val="24"/>
          <w:lang w:val="en-US" w:eastAsia="zh-CN"/>
        </w:rPr>
        <w:t>76100</w:t>
      </w:r>
      <w:r>
        <w:rPr>
          <w:rFonts w:hint="eastAsia" w:ascii="Times New Roman" w:hAnsi="Times New Roman" w:eastAsia="仿宋_GB2312" w:cs="Times New Roman"/>
          <w:color w:val="auto"/>
          <w:sz w:val="24"/>
          <w:szCs w:val="24"/>
        </w:rPr>
        <w:t>株。</w:t>
      </w:r>
      <w:r>
        <w:rPr>
          <w:rFonts w:hint="eastAsia" w:ascii="Times New Roman" w:hAnsi="Times New Roman" w:eastAsia="仿宋_GB2312" w:cs="Times New Roman"/>
          <w:color w:val="auto"/>
          <w:sz w:val="24"/>
          <w:szCs w:val="24"/>
          <w:lang w:eastAsia="zh-CN"/>
        </w:rPr>
        <w:t>并对</w:t>
      </w:r>
      <w:r>
        <w:rPr>
          <w:rFonts w:hint="eastAsia" w:ascii="Times New Roman" w:hAnsi="Times New Roman" w:eastAsia="仿宋_GB2312" w:cs="Times New Roman"/>
          <w:color w:val="auto"/>
          <w:sz w:val="24"/>
          <w:szCs w:val="24"/>
          <w:lang w:val="zh-CN"/>
        </w:rPr>
        <w:t>新造林进行抚育、割草，加强管护，</w:t>
      </w:r>
      <w:r>
        <w:rPr>
          <w:rFonts w:hint="eastAsia" w:ascii="Times New Roman" w:hAnsi="Times New Roman" w:eastAsia="仿宋_GB2312" w:cs="Times New Roman"/>
          <w:color w:val="auto"/>
          <w:sz w:val="24"/>
          <w:szCs w:val="24"/>
          <w:lang w:val="en-US" w:eastAsia="zh-CN"/>
        </w:rPr>
        <w:t>保障苗木保存率在90%及以上。</w:t>
      </w:r>
    </w:p>
    <w:p w14:paraId="55B7716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ascii="黑体" w:hAnsi="黑体" w:eastAsia="黑体" w:cs="黑体"/>
          <w:color w:val="auto"/>
          <w:sz w:val="24"/>
          <w:szCs w:val="24"/>
        </w:rPr>
      </w:pPr>
      <w:r>
        <w:rPr>
          <w:rFonts w:hint="eastAsia" w:ascii="黑体" w:hAnsi="黑体" w:eastAsia="黑体" w:cs="黑体"/>
          <w:color w:val="auto"/>
          <w:sz w:val="24"/>
          <w:szCs w:val="24"/>
        </w:rPr>
        <w:t>二、绩效评价工作开展情况</w:t>
      </w:r>
    </w:p>
    <w:p w14:paraId="4B151ED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（一）绩效评价目的、对象和范围</w:t>
      </w:r>
    </w:p>
    <w:p w14:paraId="6017825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zh-CN" w:eastAsia="zh-CN"/>
        </w:rPr>
        <w:t>依据《淮北市人民政府关于实施林业增绿增效行动的意见》（淮政</w:t>
      </w:r>
      <w:r>
        <w:rPr>
          <w:rFonts w:hint="default" w:ascii="Times New Roman" w:hAnsi="Times New Roman" w:eastAsia="仿宋_GB2312" w:cs="Times New Roman"/>
          <w:color w:val="auto"/>
          <w:sz w:val="24"/>
          <w:szCs w:val="24"/>
          <w:lang w:val="en-US" w:eastAsia="zh-CN"/>
        </w:rPr>
        <w:t>〔201</w:t>
      </w:r>
      <w:r>
        <w:rPr>
          <w:rFonts w:hint="eastAsia" w:ascii="Times New Roman" w:hAnsi="Times New Roman" w:cs="Times New Roman"/>
          <w:color w:val="auto"/>
          <w:sz w:val="24"/>
          <w:szCs w:val="24"/>
          <w:lang w:val="en-US" w:eastAsia="zh-CN"/>
        </w:rPr>
        <w:t>7</w:t>
      </w:r>
      <w:r>
        <w:rPr>
          <w:rFonts w:hint="default" w:ascii="Times New Roman" w:hAnsi="Times New Roman"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lang w:val="zh-CN" w:eastAsia="zh-CN"/>
        </w:rPr>
        <w:t>69号）、《石质山地造林技术规程》，</w:t>
      </w:r>
      <w:r>
        <w:rPr>
          <w:rFonts w:hint="eastAsia" w:ascii="Times New Roman" w:hAnsi="Times New Roman" w:eastAsia="仿宋_GB2312" w:cs="Times New Roman"/>
          <w:color w:val="auto"/>
          <w:sz w:val="24"/>
          <w:szCs w:val="24"/>
          <w:lang w:val="en-US" w:eastAsia="zh-CN"/>
        </w:rPr>
        <w:t>对</w:t>
      </w:r>
      <w:r>
        <w:rPr>
          <w:rFonts w:hint="eastAsia" w:ascii="Times New Roman" w:hAnsi="Times New Roman" w:eastAsia="仿宋_GB2312" w:cs="Times New Roman"/>
          <w:color w:val="auto"/>
          <w:sz w:val="24"/>
          <w:szCs w:val="24"/>
          <w:lang w:val="zh-CN" w:eastAsia="zh-CN"/>
        </w:rPr>
        <w:t>相山绿化剩余山场植树造林工程</w:t>
      </w:r>
      <w:r>
        <w:rPr>
          <w:rFonts w:hint="eastAsia" w:ascii="Times New Roman" w:hAnsi="Times New Roman" w:eastAsia="仿宋_GB2312" w:cs="Times New Roman"/>
          <w:color w:val="auto"/>
          <w:sz w:val="24"/>
          <w:szCs w:val="24"/>
          <w:lang w:val="en-US" w:eastAsia="zh-CN"/>
        </w:rPr>
        <w:t>项目进行绩效评价，达到考核项目的实施进展、资金使用、社会经济及生态效益等情况的目的，同时完成对项目实施单位和市林业局的绩效评价，以促进单位管理好、落实好项目，提高财政资金的使用效益，为下一期的绩效指标完成做准备。</w:t>
      </w:r>
    </w:p>
    <w:p w14:paraId="474AEDF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（二）绩效评价原则、评价指标体系（附表说明）、评价方法、评价标准等</w:t>
      </w:r>
    </w:p>
    <w:p w14:paraId="773769C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本项目评估工作由市林业局自行组织评估专家评估。采取专家论证、现场调研、座谈咨询等多种方式进行。</w:t>
      </w:r>
    </w:p>
    <w:p w14:paraId="0EB8735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（三）绩效评价工作过程</w:t>
      </w:r>
    </w:p>
    <w:p w14:paraId="0B101CA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明确评估组织方式—成立评估工作组---开展前期调研—制定评估指标体系—确定评估方式及方法—进行现场调研—初步分析---开展正式评估。</w:t>
      </w:r>
    </w:p>
    <w:p w14:paraId="142D9945">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600"/>
        <w:jc w:val="both"/>
        <w:textAlignment w:val="auto"/>
        <w:rPr>
          <w:rFonts w:hint="eastAsia" w:ascii="仿宋_GB2312" w:hAnsi="仿宋_GB2312" w:cs="仿宋_GB2312"/>
          <w:color w:val="auto"/>
          <w:sz w:val="24"/>
          <w:szCs w:val="24"/>
        </w:rPr>
      </w:pPr>
      <w:r>
        <w:rPr>
          <w:rFonts w:hint="eastAsia" w:ascii="黑体" w:hAnsi="黑体" w:eastAsia="黑体" w:cs="黑体"/>
          <w:color w:val="auto"/>
          <w:sz w:val="24"/>
          <w:szCs w:val="24"/>
        </w:rPr>
        <w:t>综合评价情况及评价结论</w:t>
      </w:r>
      <w:r>
        <w:rPr>
          <w:rFonts w:hint="eastAsia" w:ascii="Times New Roman" w:hAnsi="Times New Roman" w:eastAsia="仿宋_GB2312" w:cs="Times New Roman"/>
          <w:color w:val="auto"/>
          <w:sz w:val="24"/>
          <w:szCs w:val="24"/>
          <w:lang w:val="en-US" w:eastAsia="zh-CN"/>
        </w:rPr>
        <w:t>（附相关评分表）</w:t>
      </w:r>
    </w:p>
    <w:p w14:paraId="4499605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该项目依据充分、决策科学，符合中央和省、市委、省、市政府重大决策部署要求。项目目标明确，绩效目标和指标设置符合规范要求。项目实施使我市剩余山场迅速绿化，提高了相山森林质量和生态功能，提升了绿化美化效果，满足人民日益增长的优美生态环境需要。</w:t>
      </w:r>
    </w:p>
    <w:p w14:paraId="0AD8ACC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ascii="黑体" w:hAnsi="黑体" w:eastAsia="黑体" w:cs="黑体"/>
          <w:color w:val="auto"/>
          <w:sz w:val="24"/>
          <w:szCs w:val="24"/>
        </w:rPr>
      </w:pPr>
      <w:r>
        <w:rPr>
          <w:rFonts w:hint="eastAsia" w:ascii="黑体" w:hAnsi="黑体" w:eastAsia="黑体" w:cs="黑体"/>
          <w:color w:val="auto"/>
          <w:sz w:val="24"/>
          <w:szCs w:val="24"/>
        </w:rPr>
        <w:t>四、绩效评价指标分析</w:t>
      </w:r>
    </w:p>
    <w:p w14:paraId="0C59328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（一）项目决策情况</w:t>
      </w:r>
    </w:p>
    <w:p w14:paraId="6E7435E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按照市委、市政府的要求，要加大相山绿化范围，使剩余山场迅速绿化，继续巩固相山绿化造林成果。我局积极谋划编制《相山绿化剩余山场植树造林实施方案》，申请财政预算资金，开展相山剩余山场植树造林项目，完成方山、炸药库西部山场、方山陵园西部山场等3个山场绿化。造林总面积约640亩，其中无林地490亩、疏林地补植150亩。通过春季造林、雨季补植的方式，栽植各类树种苗木76100株。</w:t>
      </w:r>
    </w:p>
    <w:p w14:paraId="3181757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0"/>
        <w:jc w:val="both"/>
        <w:textAlignment w:val="auto"/>
        <w:outlineLvl w:val="0"/>
        <w:rPr>
          <w:rFonts w:hint="eastAsia"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kern w:val="2"/>
          <w:sz w:val="24"/>
          <w:szCs w:val="24"/>
          <w:lang w:val="en-US" w:eastAsia="zh-CN" w:bidi="ar-SA"/>
        </w:rPr>
        <w:t>（二）</w:t>
      </w:r>
      <w:r>
        <w:rPr>
          <w:rFonts w:hint="eastAsia" w:ascii="Times New Roman" w:hAnsi="Times New Roman" w:eastAsia="仿宋_GB2312" w:cs="Times New Roman"/>
          <w:b/>
          <w:bCs/>
          <w:color w:val="auto"/>
          <w:sz w:val="24"/>
          <w:szCs w:val="24"/>
        </w:rPr>
        <w:t>项目过程情况</w:t>
      </w:r>
    </w:p>
    <w:p w14:paraId="163EF884">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600" w:leftChars="0" w:right="0" w:rightChars="0"/>
        <w:jc w:val="both"/>
        <w:textAlignment w:val="auto"/>
        <w:outlineLvl w:val="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资金管理情况</w:t>
      </w:r>
    </w:p>
    <w:p w14:paraId="35B6CFB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项目2023年预算资金247万元，实际到位247万元，2023年度项目资金支出246.97万元，目标完成。资金符合国家财经法规和财务管理制度，未有截留、挤占、挪用、虚列开支等情况。</w:t>
      </w:r>
    </w:p>
    <w:p w14:paraId="7631A6DD">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600" w:leftChars="0" w:right="0" w:rightChars="0" w:firstLine="0" w:firstLineChars="0"/>
        <w:jc w:val="both"/>
        <w:textAlignment w:val="auto"/>
        <w:outlineLvl w:val="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项目实施情况</w:t>
      </w:r>
    </w:p>
    <w:p w14:paraId="2FDBFCF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68" w:firstLineChars="200"/>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zh-CN" w:eastAsia="zh-CN"/>
        </w:rPr>
        <w:t>完成方山、炸药库西部山场、方山陵园西部山场等</w:t>
      </w:r>
      <w:r>
        <w:rPr>
          <w:rFonts w:hint="eastAsia" w:ascii="Times New Roman" w:hAnsi="Times New Roman" w:eastAsia="仿宋_GB2312" w:cs="Times New Roman"/>
          <w:color w:val="auto"/>
          <w:sz w:val="24"/>
          <w:szCs w:val="24"/>
          <w:lang w:val="en-US" w:eastAsia="zh-CN"/>
        </w:rPr>
        <w:t>3</w:t>
      </w:r>
      <w:r>
        <w:rPr>
          <w:rFonts w:hint="eastAsia" w:ascii="Times New Roman" w:hAnsi="Times New Roman" w:eastAsia="仿宋_GB2312" w:cs="Times New Roman"/>
          <w:color w:val="auto"/>
          <w:sz w:val="24"/>
          <w:szCs w:val="24"/>
          <w:lang w:val="zh-CN" w:eastAsia="zh-CN"/>
        </w:rPr>
        <w:t>个山场绿化，造林总面积约</w:t>
      </w:r>
      <w:r>
        <w:rPr>
          <w:rFonts w:hint="eastAsia" w:ascii="Times New Roman" w:hAnsi="Times New Roman" w:eastAsia="仿宋_GB2312" w:cs="Times New Roman"/>
          <w:color w:val="auto"/>
          <w:sz w:val="24"/>
          <w:szCs w:val="24"/>
          <w:lang w:val="en-US" w:eastAsia="zh-CN"/>
        </w:rPr>
        <w:t>640</w:t>
      </w:r>
      <w:r>
        <w:rPr>
          <w:rFonts w:hint="eastAsia" w:ascii="Times New Roman" w:hAnsi="Times New Roman" w:eastAsia="仿宋_GB2312" w:cs="Times New Roman"/>
          <w:color w:val="auto"/>
          <w:sz w:val="24"/>
          <w:szCs w:val="24"/>
          <w:lang w:val="zh-CN" w:eastAsia="zh-CN"/>
        </w:rPr>
        <w:t>亩。</w:t>
      </w:r>
      <w:r>
        <w:rPr>
          <w:rFonts w:hint="eastAsia" w:ascii="Times New Roman" w:hAnsi="Times New Roman" w:eastAsia="仿宋_GB2312" w:cs="Times New Roman"/>
          <w:color w:val="auto"/>
          <w:sz w:val="24"/>
          <w:szCs w:val="24"/>
          <w:lang w:val="en-US" w:eastAsia="zh-CN"/>
        </w:rPr>
        <w:t>通过春季造林、雨季补植的方式，栽植并存活各类树种苗木76100株。并对</w:t>
      </w:r>
      <w:r>
        <w:rPr>
          <w:rFonts w:hint="eastAsia" w:ascii="Times New Roman" w:hAnsi="Times New Roman" w:eastAsia="仿宋_GB2312" w:cs="Times New Roman"/>
          <w:color w:val="auto"/>
          <w:sz w:val="24"/>
          <w:szCs w:val="24"/>
          <w:lang w:val="zh-CN" w:eastAsia="zh-CN"/>
        </w:rPr>
        <w:t>新造林进行抚育、割草，加强管护，完成第一阶段苗木保存率验收，苗木成活</w:t>
      </w:r>
      <w:r>
        <w:rPr>
          <w:rFonts w:hint="eastAsia" w:ascii="Times New Roman" w:hAnsi="Times New Roman" w:eastAsia="仿宋_GB2312" w:cs="Times New Roman"/>
          <w:color w:val="auto"/>
          <w:sz w:val="24"/>
          <w:szCs w:val="24"/>
          <w:lang w:val="en-US" w:eastAsia="zh-CN"/>
        </w:rPr>
        <w:t>70365株，苗木保存率为92.5%，符合要求。</w:t>
      </w:r>
    </w:p>
    <w:p w14:paraId="154E1BE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（三）项目产出情况</w:t>
      </w:r>
    </w:p>
    <w:p w14:paraId="2CC429E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1、数量指标：抚育山场面积640亩，苗木保存70365株，抚育割草面积640亩。</w:t>
      </w:r>
    </w:p>
    <w:p w14:paraId="67DDAA2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2、质量指标：栽植苗木规格株高≧1.2m，栽植苗木成活率≧90%，防火割草留茬高≦3cm。</w:t>
      </w:r>
    </w:p>
    <w:p w14:paraId="4A1CF3E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3、时效指标：相山绿化剩余山场植树造林项目，于2023年12月完成第一阶段苗木保存率验收，苗木保存率≧90%，完成2023年度绩效目标。</w:t>
      </w:r>
    </w:p>
    <w:p w14:paraId="5A28B86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4、成本指标：2023年度植树造林资金投入246.97万元。</w:t>
      </w:r>
    </w:p>
    <w:p w14:paraId="2ED1A74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仿宋_GB2312" w:hAnsi="仿宋_GB2312" w:cs="仿宋_GB2312"/>
          <w:b/>
          <w:bCs/>
          <w:color w:val="auto"/>
          <w:sz w:val="24"/>
          <w:szCs w:val="24"/>
        </w:rPr>
      </w:pPr>
      <w:r>
        <w:rPr>
          <w:rFonts w:hint="eastAsia" w:ascii="仿宋_GB2312" w:hAnsi="仿宋_GB2312" w:cs="仿宋_GB2312"/>
          <w:b/>
          <w:bCs/>
          <w:color w:val="auto"/>
          <w:sz w:val="24"/>
          <w:szCs w:val="24"/>
        </w:rPr>
        <w:t>（四）项目效益情况</w:t>
      </w:r>
    </w:p>
    <w:p w14:paraId="45BDB37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color w:val="auto"/>
          <w:sz w:val="24"/>
          <w:szCs w:val="24"/>
          <w:lang w:val="zh-CN" w:eastAsia="zh-CN"/>
        </w:rPr>
      </w:pPr>
      <w:r>
        <w:rPr>
          <w:rFonts w:hint="eastAsia" w:ascii="Times New Roman" w:hAnsi="Times New Roman" w:eastAsia="仿宋_GB2312" w:cs="Times New Roman"/>
          <w:color w:val="auto"/>
          <w:sz w:val="24"/>
          <w:szCs w:val="24"/>
          <w:lang w:val="zh-CN" w:eastAsia="zh-CN"/>
        </w:rPr>
        <w:t>相山绿化是我市生态文明建设的生动实践，是改善城乡生活环境、居住环境和投资环境、拉动全市经济持续、稳定发展的重要举措，是一项功在当代，荫及子孙的德政工程。</w:t>
      </w:r>
    </w:p>
    <w:p w14:paraId="3AFF61B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zh-CN" w:eastAsia="zh-CN"/>
        </w:rPr>
        <w:t>相山绿化剩余山场植树造林是培育森林的重要措施，也是林业生产的重要组成部分，通过相山绿化剩余山场植树造林实施，可以改善相山森林结构，提高相山森林质量和生态功能，提升绿化美化效果，进一步提高相山林地生产力水平，满足人民日益增长的优美生态环境需要。</w:t>
      </w:r>
    </w:p>
    <w:p w14:paraId="29F51F2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0" w:leftChars="0" w:right="0" w:rightChars="0"/>
        <w:jc w:val="both"/>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eastAsia="zh-CN"/>
        </w:rPr>
        <w:t>五、</w:t>
      </w:r>
      <w:r>
        <w:rPr>
          <w:rFonts w:hint="eastAsia" w:ascii="黑体" w:hAnsi="黑体" w:eastAsia="黑体" w:cs="黑体"/>
          <w:color w:val="auto"/>
          <w:sz w:val="24"/>
          <w:szCs w:val="24"/>
        </w:rPr>
        <w:t>主要经验及做法</w:t>
      </w:r>
    </w:p>
    <w:p w14:paraId="1CB9D86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zh-CN" w:eastAsia="zh-CN"/>
        </w:rPr>
        <w:t>以习近平新时代中国特色社会主义思想和党的十九大、二十大精神为指导，立足本地市情、林情，以新视野、新思维、新方式、新举措，实现相山全面绿化、生态环境改善</w:t>
      </w:r>
      <w:r>
        <w:rPr>
          <w:rFonts w:hint="eastAsia" w:ascii="Times New Roman" w:hAnsi="Times New Roman" w:eastAsia="仿宋_GB2312" w:cs="Times New Roman"/>
          <w:color w:val="auto"/>
          <w:sz w:val="24"/>
          <w:szCs w:val="24"/>
          <w:lang w:val="en-US" w:eastAsia="zh-CN"/>
        </w:rPr>
        <w:t>。坚持</w:t>
      </w:r>
      <w:r>
        <w:rPr>
          <w:rFonts w:hint="eastAsia" w:ascii="Times New Roman" w:hAnsi="Times New Roman" w:eastAsia="仿宋_GB2312" w:cs="Times New Roman"/>
          <w:color w:val="auto"/>
          <w:sz w:val="24"/>
          <w:szCs w:val="24"/>
          <w:lang w:val="zh-CN" w:eastAsia="zh-CN"/>
        </w:rPr>
        <w:t>生态优先与社会、经济发展相结合；因地制宜、适地适树与突出本地树种相结合；科学造林与推广新技术、新方法相结合；生物多样性与生态、美化相结合。相山绿化剩余山场植树造林项目的山场为石灰质山地，土层脊薄，岩石裸露面积大，水源匮乏，立地条件较差，为非宜林地。造林树种应优先选择适应性强、生长势旺、根系发达、固土力强、耐瘠薄、抗干旱的优良树种；在充分考虑树种生态学特性的基础上，兼顾体现其经济性及景观美学特征。根据《石质山地造林技术规程》，结合山场的实际，采取“炸穴挖坑、客土回填、壮苗栽植、多级提水、培大土堆、覆盖地膜、修鱼鳞坑”的七步造林法，栽植苗木常绿乔木树种侧柏及彩叶苗木黄栌、连翘、蔷薇，实现美化彩化相山。</w:t>
      </w:r>
    </w:p>
    <w:p w14:paraId="10AB764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六、存在问题及原因分析</w:t>
      </w:r>
    </w:p>
    <w:p w14:paraId="03812E0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color w:val="auto"/>
          <w:sz w:val="24"/>
          <w:szCs w:val="24"/>
          <w:lang w:val="zh-CN" w:eastAsia="zh-CN"/>
        </w:rPr>
      </w:pPr>
      <w:r>
        <w:rPr>
          <w:rFonts w:hint="eastAsia" w:ascii="Times New Roman" w:hAnsi="Times New Roman" w:eastAsia="仿宋_GB2312" w:cs="Times New Roman"/>
          <w:color w:val="auto"/>
          <w:sz w:val="24"/>
          <w:szCs w:val="24"/>
          <w:lang w:val="zh-CN" w:eastAsia="zh-CN"/>
        </w:rPr>
        <w:t>评价结果的运用需进一步加强，完善相关制度，强化项目实施过程的管理和监督。</w:t>
      </w:r>
    </w:p>
    <w:p w14:paraId="3B43E4D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1"/>
        <w:jc w:val="both"/>
        <w:textAlignment w:val="auto"/>
        <w:rPr>
          <w:rFonts w:ascii="黑体" w:hAnsi="黑体" w:eastAsia="黑体" w:cs="黑体"/>
          <w:color w:val="auto"/>
          <w:sz w:val="24"/>
          <w:szCs w:val="24"/>
        </w:rPr>
      </w:pPr>
      <w:r>
        <w:rPr>
          <w:rFonts w:hint="eastAsia" w:ascii="黑体" w:hAnsi="黑体" w:eastAsia="黑体" w:cs="黑体"/>
          <w:color w:val="auto"/>
          <w:sz w:val="24"/>
          <w:szCs w:val="24"/>
        </w:rPr>
        <w:t>七、有关建议</w:t>
      </w:r>
    </w:p>
    <w:p w14:paraId="4C2F7C0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一是强化管护，努力提高造林成活率、保存率。要落实护林人员职责，严防偷盗和破坏林木。要高度重视林木防火工作，切实保障林木安全。</w:t>
      </w:r>
    </w:p>
    <w:p w14:paraId="1A7181C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二是落实林权，确保造林成效。对新造林要落实主体，明晰林木权属，落实护林责任，切实加强管护，巩固绿化成果。</w:t>
      </w:r>
    </w:p>
    <w:p w14:paraId="306397A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0"/>
        <w:jc w:val="both"/>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kern w:val="2"/>
          <w:sz w:val="24"/>
          <w:szCs w:val="24"/>
          <w:lang w:val="en-US" w:eastAsia="zh-CN" w:bidi="ar-SA"/>
        </w:rPr>
        <w:t>八、</w:t>
      </w:r>
      <w:r>
        <w:rPr>
          <w:rFonts w:hint="eastAsia" w:ascii="黑体" w:hAnsi="黑体" w:eastAsia="黑体" w:cs="黑体"/>
          <w:color w:val="auto"/>
          <w:sz w:val="24"/>
          <w:szCs w:val="24"/>
          <w:lang w:val="en-US" w:eastAsia="zh-CN"/>
        </w:rPr>
        <w:t>其他需要说明的问题</w:t>
      </w:r>
    </w:p>
    <w:p w14:paraId="58CB292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outlineLvl w:val="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无。</w:t>
      </w:r>
    </w:p>
    <w:p w14:paraId="50D3021F">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 w:hAnsi="仿宋" w:eastAsia="仿宋" w:cs="Times New Roman"/>
          <w:color w:val="auto"/>
          <w:sz w:val="24"/>
          <w:szCs w:val="24"/>
          <w:lang w:val="en-US" w:eastAsia="zh-CN"/>
        </w:rPr>
        <w:sectPr>
          <w:footerReference r:id="rId4" w:type="first"/>
          <w:footerReference r:id="rId3" w:type="default"/>
          <w:pgSz w:w="11906" w:h="16838"/>
          <w:pgMar w:top="2154" w:right="1531" w:bottom="1587" w:left="1588" w:header="0" w:footer="1304" w:gutter="0"/>
          <w:cols w:space="720" w:num="1"/>
          <w:rtlGutter w:val="0"/>
          <w:docGrid w:type="linesAndChars" w:linePitch="569" w:charSpace="-1266"/>
        </w:sectPr>
      </w:pPr>
      <w:r>
        <w:rPr>
          <w:rFonts w:hint="eastAsia" w:ascii="仿宋" w:hAnsi="仿宋" w:eastAsia="仿宋" w:cs="Times New Roman"/>
          <w:color w:val="auto"/>
          <w:sz w:val="24"/>
          <w:szCs w:val="24"/>
          <w:lang w:val="en-US" w:eastAsia="zh-CN"/>
        </w:rPr>
        <w:t xml:space="preserve"> </w:t>
      </w:r>
    </w:p>
    <w:tbl>
      <w:tblPr>
        <w:tblStyle w:val="4"/>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1"/>
        <w:gridCol w:w="971"/>
        <w:gridCol w:w="1465"/>
        <w:gridCol w:w="2058"/>
        <w:gridCol w:w="1028"/>
        <w:gridCol w:w="3400"/>
        <w:gridCol w:w="907"/>
        <w:gridCol w:w="808"/>
      </w:tblGrid>
      <w:tr w14:paraId="3156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3813" w:type="dxa"/>
            <w:gridSpan w:val="8"/>
            <w:tcBorders>
              <w:top w:val="nil"/>
              <w:left w:val="nil"/>
              <w:bottom w:val="nil"/>
              <w:right w:val="nil"/>
            </w:tcBorders>
            <w:noWrap w:val="0"/>
            <w:vAlign w:val="center"/>
          </w:tcPr>
          <w:p w14:paraId="6E04BA0C">
            <w:pPr>
              <w:keepNext w:val="0"/>
              <w:keepLines w:val="0"/>
              <w:widowControl/>
              <w:suppressLineNumbers w:val="0"/>
              <w:jc w:val="center"/>
              <w:textAlignment w:val="center"/>
              <w:rPr>
                <w:rFonts w:ascii="黑体" w:hAnsi="宋体" w:eastAsia="黑体" w:cs="黑体"/>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相山绿化剩余山场植树造林项目绩效评价评分情况表</w:t>
            </w:r>
          </w:p>
        </w:tc>
      </w:tr>
      <w:tr w14:paraId="71941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59B6BC2A">
            <w:pPr>
              <w:pStyle w:val="9"/>
              <w:keepNext w:val="0"/>
              <w:keepLines w:val="0"/>
              <w:pageBreakBefore w:val="0"/>
              <w:widowControl w:val="0"/>
              <w:kinsoku/>
              <w:wordWrap/>
              <w:overflowPunct/>
              <w:topLinePunct w:val="0"/>
              <w:autoSpaceDE/>
              <w:autoSpaceDN/>
              <w:bidi w:val="0"/>
              <w:adjustRightInd/>
              <w:snapToGrid/>
              <w:ind w:left="0"/>
              <w:jc w:val="center"/>
              <w:textAlignment w:val="auto"/>
              <w:rPr>
                <w:rFonts w:hint="eastAsia"/>
                <w:b/>
                <w:color w:val="auto"/>
                <w:sz w:val="24"/>
                <w:szCs w:val="24"/>
                <w:lang w:val="en-US" w:eastAsia="zh-CN"/>
              </w:rPr>
            </w:pPr>
            <w:r>
              <w:rPr>
                <w:rFonts w:hint="eastAsia"/>
                <w:b/>
                <w:color w:val="auto"/>
                <w:sz w:val="24"/>
                <w:szCs w:val="24"/>
                <w:lang w:val="en-US" w:eastAsia="zh-CN"/>
              </w:rPr>
              <w:t>序号</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030F1F7D">
            <w:pPr>
              <w:pStyle w:val="9"/>
              <w:keepNext w:val="0"/>
              <w:keepLines w:val="0"/>
              <w:pageBreakBefore w:val="0"/>
              <w:widowControl w:val="0"/>
              <w:kinsoku/>
              <w:wordWrap/>
              <w:overflowPunct/>
              <w:topLinePunct w:val="0"/>
              <w:autoSpaceDE/>
              <w:autoSpaceDN/>
              <w:bidi w:val="0"/>
              <w:adjustRightInd/>
              <w:snapToGrid/>
              <w:ind w:left="0"/>
              <w:jc w:val="center"/>
              <w:textAlignment w:val="auto"/>
              <w:rPr>
                <w:rFonts w:hint="eastAsia"/>
                <w:b/>
                <w:color w:val="auto"/>
                <w:sz w:val="24"/>
                <w:szCs w:val="24"/>
                <w:lang w:val="en-US" w:eastAsia="zh-CN"/>
              </w:rPr>
            </w:pPr>
            <w:r>
              <w:rPr>
                <w:rFonts w:hint="eastAsia"/>
                <w:b/>
                <w:color w:val="auto"/>
                <w:sz w:val="24"/>
                <w:szCs w:val="24"/>
                <w:lang w:val="en-US" w:eastAsia="zh-CN"/>
              </w:rPr>
              <w:t>一级指标</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14:paraId="5AB9E2A0">
            <w:pPr>
              <w:pStyle w:val="9"/>
              <w:keepNext w:val="0"/>
              <w:keepLines w:val="0"/>
              <w:pageBreakBefore w:val="0"/>
              <w:widowControl w:val="0"/>
              <w:kinsoku/>
              <w:wordWrap/>
              <w:overflowPunct/>
              <w:topLinePunct w:val="0"/>
              <w:autoSpaceDE/>
              <w:autoSpaceDN/>
              <w:bidi w:val="0"/>
              <w:adjustRightInd/>
              <w:snapToGrid/>
              <w:ind w:left="0"/>
              <w:jc w:val="center"/>
              <w:textAlignment w:val="auto"/>
              <w:rPr>
                <w:rFonts w:hint="eastAsia"/>
                <w:b/>
                <w:color w:val="auto"/>
                <w:sz w:val="24"/>
                <w:szCs w:val="24"/>
                <w:lang w:val="en-US" w:eastAsia="zh-CN"/>
              </w:rPr>
            </w:pPr>
            <w:r>
              <w:rPr>
                <w:rFonts w:hint="eastAsia"/>
                <w:b/>
                <w:color w:val="auto"/>
                <w:sz w:val="24"/>
                <w:szCs w:val="24"/>
                <w:lang w:val="en-US" w:eastAsia="zh-CN"/>
              </w:rPr>
              <w:t>二级指标</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3258EA52">
            <w:pPr>
              <w:pStyle w:val="9"/>
              <w:keepNext w:val="0"/>
              <w:keepLines w:val="0"/>
              <w:pageBreakBefore w:val="0"/>
              <w:widowControl w:val="0"/>
              <w:kinsoku/>
              <w:wordWrap/>
              <w:overflowPunct/>
              <w:topLinePunct w:val="0"/>
              <w:autoSpaceDE/>
              <w:autoSpaceDN/>
              <w:bidi w:val="0"/>
              <w:adjustRightInd/>
              <w:snapToGrid/>
              <w:ind w:left="0"/>
              <w:jc w:val="center"/>
              <w:textAlignment w:val="auto"/>
              <w:rPr>
                <w:rFonts w:hint="eastAsia"/>
                <w:b/>
                <w:color w:val="auto"/>
                <w:sz w:val="24"/>
                <w:szCs w:val="24"/>
                <w:lang w:val="en-US" w:eastAsia="zh-CN"/>
              </w:rPr>
            </w:pPr>
            <w:r>
              <w:rPr>
                <w:rFonts w:hint="eastAsia"/>
                <w:b/>
                <w:color w:val="auto"/>
                <w:sz w:val="24"/>
                <w:szCs w:val="24"/>
                <w:lang w:val="en-US" w:eastAsia="zh-CN"/>
              </w:rPr>
              <w:t>三级指标</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211AC070">
            <w:pPr>
              <w:pStyle w:val="9"/>
              <w:keepNext w:val="0"/>
              <w:keepLines w:val="0"/>
              <w:pageBreakBefore w:val="0"/>
              <w:widowControl w:val="0"/>
              <w:kinsoku/>
              <w:wordWrap/>
              <w:overflowPunct/>
              <w:topLinePunct w:val="0"/>
              <w:autoSpaceDE/>
              <w:autoSpaceDN/>
              <w:bidi w:val="0"/>
              <w:adjustRightInd/>
              <w:snapToGrid/>
              <w:ind w:left="0"/>
              <w:jc w:val="center"/>
              <w:textAlignment w:val="auto"/>
              <w:rPr>
                <w:rFonts w:hint="eastAsia"/>
                <w:b/>
                <w:color w:val="auto"/>
                <w:sz w:val="24"/>
                <w:szCs w:val="24"/>
                <w:lang w:val="en-US" w:eastAsia="zh-CN"/>
              </w:rPr>
            </w:pPr>
            <w:r>
              <w:rPr>
                <w:rFonts w:hint="eastAsia"/>
                <w:b/>
                <w:color w:val="auto"/>
                <w:sz w:val="24"/>
                <w:szCs w:val="24"/>
                <w:lang w:val="en-US" w:eastAsia="zh-CN"/>
              </w:rPr>
              <w:t>标准分值</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2CF0DFA8">
            <w:pPr>
              <w:pStyle w:val="9"/>
              <w:keepNext w:val="0"/>
              <w:keepLines w:val="0"/>
              <w:pageBreakBefore w:val="0"/>
              <w:widowControl w:val="0"/>
              <w:kinsoku/>
              <w:wordWrap/>
              <w:overflowPunct/>
              <w:topLinePunct w:val="0"/>
              <w:autoSpaceDE/>
              <w:autoSpaceDN/>
              <w:bidi w:val="0"/>
              <w:adjustRightInd/>
              <w:snapToGrid/>
              <w:ind w:left="0"/>
              <w:jc w:val="center"/>
              <w:textAlignment w:val="auto"/>
              <w:rPr>
                <w:rFonts w:hint="eastAsia"/>
                <w:b/>
                <w:color w:val="auto"/>
                <w:sz w:val="24"/>
                <w:szCs w:val="24"/>
                <w:lang w:val="en-US" w:eastAsia="zh-CN"/>
              </w:rPr>
            </w:pPr>
            <w:r>
              <w:rPr>
                <w:rFonts w:hint="eastAsia"/>
                <w:b/>
                <w:color w:val="auto"/>
                <w:sz w:val="24"/>
                <w:szCs w:val="24"/>
                <w:lang w:val="en-US" w:eastAsia="zh-CN"/>
              </w:rPr>
              <w:t>评分情况</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DAA9754">
            <w:pPr>
              <w:pStyle w:val="9"/>
              <w:keepNext w:val="0"/>
              <w:keepLines w:val="0"/>
              <w:pageBreakBefore w:val="0"/>
              <w:widowControl w:val="0"/>
              <w:kinsoku/>
              <w:wordWrap/>
              <w:overflowPunct/>
              <w:topLinePunct w:val="0"/>
              <w:autoSpaceDE/>
              <w:autoSpaceDN/>
              <w:bidi w:val="0"/>
              <w:adjustRightInd/>
              <w:snapToGrid/>
              <w:ind w:left="0"/>
              <w:jc w:val="center"/>
              <w:textAlignment w:val="auto"/>
              <w:rPr>
                <w:rFonts w:hint="eastAsia"/>
                <w:b/>
                <w:color w:val="auto"/>
                <w:sz w:val="24"/>
                <w:szCs w:val="24"/>
                <w:lang w:val="en-US" w:eastAsia="zh-CN"/>
              </w:rPr>
            </w:pPr>
            <w:r>
              <w:rPr>
                <w:rFonts w:hint="eastAsia"/>
                <w:b/>
                <w:color w:val="auto"/>
                <w:sz w:val="24"/>
                <w:szCs w:val="24"/>
                <w:lang w:val="en-US" w:eastAsia="zh-CN"/>
              </w:rPr>
              <w:t>得分</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6C63AF2B">
            <w:pPr>
              <w:pStyle w:val="9"/>
              <w:keepNext w:val="0"/>
              <w:keepLines w:val="0"/>
              <w:pageBreakBefore w:val="0"/>
              <w:widowControl w:val="0"/>
              <w:kinsoku/>
              <w:wordWrap/>
              <w:overflowPunct/>
              <w:topLinePunct w:val="0"/>
              <w:autoSpaceDE/>
              <w:autoSpaceDN/>
              <w:bidi w:val="0"/>
              <w:adjustRightInd/>
              <w:snapToGrid/>
              <w:ind w:left="0"/>
              <w:jc w:val="center"/>
              <w:textAlignment w:val="auto"/>
              <w:rPr>
                <w:rFonts w:hint="eastAsia"/>
                <w:b/>
                <w:color w:val="auto"/>
                <w:sz w:val="24"/>
                <w:szCs w:val="24"/>
                <w:lang w:val="en-US" w:eastAsia="zh-CN"/>
              </w:rPr>
            </w:pPr>
            <w:r>
              <w:rPr>
                <w:rFonts w:hint="eastAsia"/>
                <w:b/>
                <w:color w:val="auto"/>
                <w:sz w:val="24"/>
                <w:szCs w:val="24"/>
                <w:lang w:val="en-US" w:eastAsia="zh-CN"/>
              </w:rPr>
              <w:t>扣分</w:t>
            </w:r>
          </w:p>
        </w:tc>
      </w:tr>
      <w:tr w14:paraId="5F4E9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5B4D76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401EE2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产出指标</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14:paraId="52C5DB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数量指标</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784569C0">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抚育山场面积640亩</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AA0B3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64A025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抚育山场面积640亩</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2D1EA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709350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0BBC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6D3A37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4F72BA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产出指标</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14:paraId="20C401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数量指标</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437F6057">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栽植苗木72000株</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203E8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30AF3E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苗木栽植76100株</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1FCD6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5770D083">
            <w:pPr>
              <w:jc w:val="both"/>
              <w:rPr>
                <w:rFonts w:hint="eastAsia" w:ascii="宋体" w:hAnsi="宋体" w:eastAsia="宋体" w:cs="宋体"/>
                <w:i w:val="0"/>
                <w:iCs w:val="0"/>
                <w:color w:val="auto"/>
                <w:sz w:val="24"/>
                <w:szCs w:val="24"/>
                <w:u w:val="none"/>
                <w:lang w:val="en-US" w:eastAsia="zh-CN"/>
              </w:rPr>
            </w:pPr>
          </w:p>
        </w:tc>
      </w:tr>
      <w:tr w14:paraId="51B7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612387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03A62F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产出指标</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14:paraId="4D258E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数量指标</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70E9D93A">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抚育割草面积640亩</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4A6B8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400C10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抚育割草面积640亩</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8181D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513C7D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70D3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3C57ED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5FA2AB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产出指标</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14:paraId="4E9EE7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数量指标</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39B08BC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栽植苗木规格≧1.2m</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3A19AC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7A5A5A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栽植苗木规格≧1.2m</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D2C2C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639EE7D5">
            <w:pPr>
              <w:jc w:val="center"/>
              <w:rPr>
                <w:rFonts w:hint="eastAsia" w:ascii="宋体" w:hAnsi="宋体" w:eastAsia="宋体" w:cs="宋体"/>
                <w:i w:val="0"/>
                <w:iCs w:val="0"/>
                <w:color w:val="auto"/>
                <w:sz w:val="24"/>
                <w:szCs w:val="24"/>
                <w:u w:val="none"/>
              </w:rPr>
            </w:pPr>
          </w:p>
        </w:tc>
      </w:tr>
      <w:tr w14:paraId="4945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2BBEE4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5F8F37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产出指标</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14:paraId="087911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数量指标</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1A88B27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栽植苗木成活率≧90%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12EC06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6E396F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栽植苗木成活率≧90%</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92A49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1CFFC40C">
            <w:pPr>
              <w:jc w:val="center"/>
              <w:rPr>
                <w:rFonts w:hint="eastAsia" w:ascii="宋体" w:hAnsi="宋体" w:eastAsia="宋体" w:cs="宋体"/>
                <w:i w:val="0"/>
                <w:iCs w:val="0"/>
                <w:color w:val="auto"/>
                <w:sz w:val="24"/>
                <w:szCs w:val="24"/>
                <w:u w:val="none"/>
              </w:rPr>
            </w:pPr>
          </w:p>
        </w:tc>
      </w:tr>
      <w:tr w14:paraId="0A56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4403B1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0B00A8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产出指标</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14:paraId="6370B2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数量指标</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01ADB2DE">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防火割草留茬高≦3cm</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4A1C67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6F11E8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防火割草留茬高≦3cm</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479E6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6284D51C">
            <w:pPr>
              <w:jc w:val="center"/>
              <w:rPr>
                <w:rFonts w:hint="eastAsia" w:ascii="宋体" w:hAnsi="宋体" w:eastAsia="宋体" w:cs="宋体"/>
                <w:i w:val="0"/>
                <w:iCs w:val="0"/>
                <w:color w:val="auto"/>
                <w:sz w:val="24"/>
                <w:szCs w:val="24"/>
                <w:u w:val="none"/>
              </w:rPr>
            </w:pPr>
          </w:p>
        </w:tc>
      </w:tr>
      <w:tr w14:paraId="499BA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62630E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0C9742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产出指标</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14:paraId="3454E1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数量指标</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3E07593C">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持续时间1年</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11AE20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244DD9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持续时间1年</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DCC2B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41589EBE">
            <w:pPr>
              <w:jc w:val="center"/>
              <w:rPr>
                <w:rFonts w:hint="eastAsia" w:ascii="宋体" w:hAnsi="宋体" w:eastAsia="宋体" w:cs="宋体"/>
                <w:i w:val="0"/>
                <w:iCs w:val="0"/>
                <w:color w:val="auto"/>
                <w:sz w:val="24"/>
                <w:szCs w:val="24"/>
                <w:u w:val="none"/>
              </w:rPr>
            </w:pPr>
          </w:p>
        </w:tc>
      </w:tr>
      <w:tr w14:paraId="25C5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33FE92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36536B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产出指标</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14:paraId="1C9676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数量指标</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26A51287">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2022-2023年</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D6FA4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289C76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完成时间2023年12月</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2D1B03A">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15A7D8D6">
            <w:pPr>
              <w:jc w:val="center"/>
              <w:rPr>
                <w:rFonts w:hint="default" w:ascii="宋体" w:hAnsi="宋体" w:eastAsia="宋体" w:cs="宋体"/>
                <w:i w:val="0"/>
                <w:iCs w:val="0"/>
                <w:color w:val="auto"/>
                <w:sz w:val="24"/>
                <w:szCs w:val="24"/>
                <w:u w:val="none"/>
                <w:lang w:val="en-US" w:eastAsia="zh-CN"/>
              </w:rPr>
            </w:pPr>
          </w:p>
        </w:tc>
      </w:tr>
      <w:tr w14:paraId="015B8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41A221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349F9A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产出指标</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14:paraId="0B19FE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数量指标</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19186ED2">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造林成本≦6000元/亩</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76CFBF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1C9E1A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造林成本≦6000元/亩</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EE0F1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1E9E7EE0">
            <w:pPr>
              <w:jc w:val="center"/>
              <w:rPr>
                <w:rFonts w:hint="eastAsia" w:ascii="宋体" w:hAnsi="宋体" w:eastAsia="宋体" w:cs="宋体"/>
                <w:i w:val="0"/>
                <w:iCs w:val="0"/>
                <w:color w:val="auto"/>
                <w:sz w:val="24"/>
                <w:szCs w:val="24"/>
                <w:u w:val="none"/>
              </w:rPr>
            </w:pPr>
          </w:p>
        </w:tc>
      </w:tr>
      <w:tr w14:paraId="0B66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6A4210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6FE488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产出指标</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14:paraId="5F7BE3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数量指标</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64FDA52A">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植树造林总投资247万元</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73B269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3B5A23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植树造林总投资246.97万元</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89A13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47AA8429">
            <w:pPr>
              <w:jc w:val="center"/>
              <w:rPr>
                <w:rFonts w:hint="default" w:ascii="宋体" w:hAnsi="宋体" w:eastAsia="宋体" w:cs="宋体"/>
                <w:i w:val="0"/>
                <w:iCs w:val="0"/>
                <w:color w:val="auto"/>
                <w:sz w:val="24"/>
                <w:szCs w:val="24"/>
                <w:u w:val="none"/>
                <w:lang w:val="en-US" w:eastAsia="zh-CN"/>
              </w:rPr>
            </w:pPr>
          </w:p>
        </w:tc>
      </w:tr>
      <w:tr w14:paraId="5EDAB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78C729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37B0E4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效益指标</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14:paraId="71CED2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经济效益指标</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550469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直接提高林分质量</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3436C5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18A271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直接提高林分质量</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436E7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3D73FEB5">
            <w:pPr>
              <w:jc w:val="center"/>
              <w:rPr>
                <w:rFonts w:hint="eastAsia" w:ascii="宋体" w:hAnsi="宋体" w:eastAsia="宋体" w:cs="宋体"/>
                <w:i w:val="0"/>
                <w:iCs w:val="0"/>
                <w:color w:val="auto"/>
                <w:sz w:val="24"/>
                <w:szCs w:val="24"/>
                <w:u w:val="none"/>
              </w:rPr>
            </w:pPr>
          </w:p>
        </w:tc>
      </w:tr>
      <w:tr w14:paraId="7556A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403990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6825B2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效益指标</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14:paraId="375D94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经济效益指标</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1B4444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间接拓展旅游</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48B71D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4D43CE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间接拓展旅游</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B874F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09A5D2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66DB5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24338B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355491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效益指标</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14:paraId="00B245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社会效益指标</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7955D201">
            <w:pPr>
              <w:keepNext w:val="0"/>
              <w:keepLines w:val="0"/>
              <w:widowControl/>
              <w:suppressLineNumbers w:val="0"/>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提高民众保护意识</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2EBA2C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17F3B5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CN"/>
              </w:rPr>
              <w:t>提高民众保护意识</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6FBD8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71D28A4E">
            <w:pPr>
              <w:jc w:val="center"/>
              <w:rPr>
                <w:rFonts w:hint="eastAsia" w:ascii="宋体" w:hAnsi="宋体" w:eastAsia="宋体" w:cs="宋体"/>
                <w:i w:val="0"/>
                <w:iCs w:val="0"/>
                <w:color w:val="auto"/>
                <w:sz w:val="24"/>
                <w:szCs w:val="24"/>
                <w:u w:val="none"/>
              </w:rPr>
            </w:pPr>
          </w:p>
        </w:tc>
      </w:tr>
      <w:tr w14:paraId="45AA8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5109EC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6F0032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效益指标</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14:paraId="1BC678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生态效益指标</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4700A9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有效改善林区生态</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28A83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3AAD59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有效改善林区生态</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F1F72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129217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2BF4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31E98B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307E1C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效益指标</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14:paraId="1B7D82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可持续影响指标</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65FB81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森林生态系统稳定</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11732B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260995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森林生态系统稳定</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0D9A8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52E0D6CC">
            <w:pPr>
              <w:jc w:val="center"/>
              <w:rPr>
                <w:rFonts w:hint="eastAsia" w:ascii="宋体" w:hAnsi="宋体" w:eastAsia="宋体" w:cs="宋体"/>
                <w:i w:val="0"/>
                <w:iCs w:val="0"/>
                <w:color w:val="auto"/>
                <w:sz w:val="24"/>
                <w:szCs w:val="24"/>
                <w:u w:val="none"/>
              </w:rPr>
            </w:pPr>
          </w:p>
        </w:tc>
      </w:tr>
      <w:tr w14:paraId="1CA88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1B8429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525F75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效益指标</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14:paraId="2CBF15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可持续影响指标</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576C45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促进林区可持续发展明显</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4AB413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037B2B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促进林区可持续发展明显</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CDCC9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0D67AF23">
            <w:pPr>
              <w:jc w:val="center"/>
              <w:rPr>
                <w:rFonts w:hint="eastAsia" w:ascii="宋体" w:hAnsi="宋体" w:eastAsia="宋体" w:cs="宋体"/>
                <w:i w:val="0"/>
                <w:iCs w:val="0"/>
                <w:color w:val="auto"/>
                <w:sz w:val="24"/>
                <w:szCs w:val="24"/>
                <w:u w:val="none"/>
              </w:rPr>
            </w:pPr>
          </w:p>
        </w:tc>
      </w:tr>
      <w:tr w14:paraId="1A5E3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76FE1A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7CE4A1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满意度指标</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14:paraId="7EBCAC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服务对象满意度指标</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620932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服务对象满意度≥90%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43C50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667833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服务对象满意度≥90%</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C91D4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58CFBC82">
            <w:pPr>
              <w:jc w:val="center"/>
              <w:rPr>
                <w:rFonts w:hint="eastAsia" w:ascii="宋体" w:hAnsi="宋体" w:eastAsia="宋体" w:cs="宋体"/>
                <w:i w:val="0"/>
                <w:iCs w:val="0"/>
                <w:color w:val="auto"/>
                <w:sz w:val="24"/>
                <w:szCs w:val="24"/>
                <w:u w:val="none"/>
              </w:rPr>
            </w:pPr>
          </w:p>
        </w:tc>
      </w:tr>
      <w:tr w14:paraId="0E9D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4E388068">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59A43BC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满意度指标</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14:paraId="125B792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服务对象满意度指标</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14:paraId="0A9F5B2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林地周边群众满意度≥90%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4A9A92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10B97E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林地周边群众满意度≥90%</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C344269">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380C38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p>
        </w:tc>
      </w:tr>
      <w:tr w14:paraId="19FC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591B891B">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5456" w:type="dxa"/>
            <w:gridSpan w:val="3"/>
            <w:tcBorders>
              <w:top w:val="single" w:color="000000" w:sz="4" w:space="0"/>
              <w:left w:val="single" w:color="000000" w:sz="4" w:space="0"/>
              <w:bottom w:val="single" w:color="000000" w:sz="4" w:space="0"/>
              <w:right w:val="single" w:color="000000" w:sz="4" w:space="0"/>
            </w:tcBorders>
            <w:noWrap w:val="0"/>
            <w:vAlign w:val="center"/>
          </w:tcPr>
          <w:p w14:paraId="2C19956B">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项目全年预算247万元</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40DFE266">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04980292">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项目全年执行数246.97万元</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161FE82">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9.9</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7FFF735E">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0.1</w:t>
            </w:r>
          </w:p>
        </w:tc>
      </w:tr>
      <w:tr w14:paraId="3C36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260" w:type="dxa"/>
            <w:gridSpan w:val="4"/>
            <w:tcBorders>
              <w:top w:val="single" w:color="000000" w:sz="4" w:space="0"/>
              <w:left w:val="single" w:color="000000" w:sz="4" w:space="0"/>
              <w:bottom w:val="single" w:color="000000" w:sz="4" w:space="0"/>
              <w:right w:val="single" w:color="000000" w:sz="4" w:space="0"/>
            </w:tcBorders>
            <w:noWrap w:val="0"/>
            <w:vAlign w:val="center"/>
          </w:tcPr>
          <w:p w14:paraId="09CCEEC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合计</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986152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100</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14:paraId="71E8D9E9">
            <w:pPr>
              <w:jc w:val="center"/>
              <w:rPr>
                <w:rFonts w:hint="eastAsia" w:ascii="宋体" w:hAnsi="宋体" w:eastAsia="宋体" w:cs="宋体"/>
                <w:i w:val="0"/>
                <w:iCs w:val="0"/>
                <w:color w:val="auto"/>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8C3476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99.9</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020E293A">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0.1</w:t>
            </w:r>
          </w:p>
        </w:tc>
      </w:tr>
    </w:tbl>
    <w:p w14:paraId="41EAE824">
      <w:pPr>
        <w:rPr>
          <w:sz w:val="24"/>
          <w:szCs w:val="24"/>
        </w:rPr>
      </w:pPr>
    </w:p>
    <w:sectPr>
      <w:footerReference r:id="rId5" w:type="default"/>
      <w:pgSz w:w="11906" w:h="16838"/>
      <w:pgMar w:top="1701" w:right="1134" w:bottom="141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9DF21">
    <w:pPr>
      <w:pStyle w:val="3"/>
      <w:ind w:right="360"/>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64FCE">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92B616">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14:paraId="3E92B61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212FC">
    <w:pPr>
      <w:pStyle w:val="2"/>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556DF"/>
    <w:multiLevelType w:val="singleLevel"/>
    <w:tmpl w:val="A79556DF"/>
    <w:lvl w:ilvl="0" w:tentative="0">
      <w:start w:val="2"/>
      <w:numFmt w:val="chineseCounting"/>
      <w:suff w:val="nothing"/>
      <w:lvlText w:val="（%1）"/>
      <w:lvlJc w:val="left"/>
      <w:rPr>
        <w:rFonts w:hint="eastAsia"/>
      </w:rPr>
    </w:lvl>
  </w:abstractNum>
  <w:abstractNum w:abstractNumId="1">
    <w:nsid w:val="AC6DE6BE"/>
    <w:multiLevelType w:val="singleLevel"/>
    <w:tmpl w:val="AC6DE6BE"/>
    <w:lvl w:ilvl="0" w:tentative="0">
      <w:start w:val="3"/>
      <w:numFmt w:val="chineseCounting"/>
      <w:suff w:val="nothing"/>
      <w:lvlText w:val="%1、"/>
      <w:lvlJc w:val="left"/>
      <w:rPr>
        <w:rFonts w:hint="eastAsia" w:ascii="黑体" w:hAnsi="黑体" w:eastAsia="黑体" w:cs="黑体"/>
        <w:sz w:val="32"/>
        <w:szCs w:val="32"/>
      </w:rPr>
    </w:lvl>
  </w:abstractNum>
  <w:abstractNum w:abstractNumId="2">
    <w:nsid w:val="C7A81722"/>
    <w:multiLevelType w:val="singleLevel"/>
    <w:tmpl w:val="C7A81722"/>
    <w:lvl w:ilvl="0" w:tentative="0">
      <w:start w:val="1"/>
      <w:numFmt w:val="chineseCounting"/>
      <w:suff w:val="nothing"/>
      <w:lvlText w:val="（%1）"/>
      <w:lvlJc w:val="left"/>
      <w:pPr>
        <w:ind w:left="0" w:firstLine="420"/>
      </w:pPr>
      <w:rPr>
        <w:rFonts w:hint="eastAsia"/>
      </w:rPr>
    </w:lvl>
  </w:abstractNum>
  <w:abstractNum w:abstractNumId="3">
    <w:nsid w:val="7D650F23"/>
    <w:multiLevelType w:val="singleLevel"/>
    <w:tmpl w:val="7D650F23"/>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MDQzMzQ1Y2ZhNzJlNGEzMWRkZGUxYzdmNjhmY2YifQ=="/>
  </w:docVars>
  <w:rsids>
    <w:rsidRoot w:val="63C40EF9"/>
    <w:rsid w:val="63C40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jc w:val="center"/>
    </w:pPr>
    <w:rPr>
      <w:rFonts w:eastAsia="黑体"/>
      <w:sz w:val="36"/>
    </w:r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customStyle="1" w:styleId="6">
    <w:name w:val="font11"/>
    <w:basedOn w:val="5"/>
    <w:qFormat/>
    <w:uiPriority w:val="0"/>
    <w:rPr>
      <w:rFonts w:hint="eastAsia" w:ascii="宋体" w:hAnsi="宋体" w:eastAsia="宋体" w:cs="宋体"/>
      <w:color w:val="000000"/>
      <w:sz w:val="18"/>
      <w:szCs w:val="18"/>
      <w:u w:val="none"/>
    </w:rPr>
  </w:style>
  <w:style w:type="character" w:customStyle="1" w:styleId="7">
    <w:name w:val="font21"/>
    <w:basedOn w:val="5"/>
    <w:qFormat/>
    <w:uiPriority w:val="0"/>
    <w:rPr>
      <w:rFonts w:hint="eastAsia" w:ascii="宋体" w:hAnsi="宋体" w:eastAsia="宋体" w:cs="宋体"/>
      <w:color w:val="000000"/>
      <w:sz w:val="32"/>
      <w:szCs w:val="32"/>
      <w:u w:val="none"/>
    </w:rPr>
  </w:style>
  <w:style w:type="character" w:customStyle="1" w:styleId="8">
    <w:name w:val="font41"/>
    <w:basedOn w:val="5"/>
    <w:qFormat/>
    <w:uiPriority w:val="0"/>
    <w:rPr>
      <w:rFonts w:hint="eastAsia" w:ascii="宋体" w:hAnsi="宋体" w:eastAsia="宋体" w:cs="宋体"/>
      <w:color w:val="000000"/>
      <w:sz w:val="32"/>
      <w:szCs w:val="32"/>
      <w:u w:val="none"/>
    </w:rPr>
  </w:style>
  <w:style w:type="paragraph" w:customStyle="1" w:styleId="9">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2024-09-25T11:41:00Z</dcterms:created>
  <dc:creator>伟</dc:creator>
  <cp:lastModifiedBy>伟</cp:lastModifiedBy>
  <dcterms:modified xsi:type="dcterms:W3CDTF">2024-09-25T11:48:48Z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23E8EA4B5D204467B1C25123C2AD253B_11</vt:lpwstr>
  </property>
</Properties>
</file>